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8F0" w:rsidRDefault="002868F0" w:rsidP="002868F0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A1615B" w:rsidRPr="00A1615B" w:rsidRDefault="00A1615B" w:rsidP="00A1615B">
      <w:pPr>
        <w:jc w:val="center"/>
        <w:rPr>
          <w:rFonts w:ascii="Times New Roman" w:hAnsi="Times New Roman" w:cs="Times New Roman"/>
          <w:b/>
          <w:iCs/>
          <w:sz w:val="28"/>
          <w:szCs w:val="24"/>
        </w:rPr>
      </w:pPr>
      <w:r w:rsidRPr="00A1615B">
        <w:rPr>
          <w:rFonts w:ascii="Times New Roman" w:hAnsi="Times New Roman" w:cs="Times New Roman"/>
          <w:b/>
          <w:iCs/>
          <w:sz w:val="28"/>
          <w:szCs w:val="24"/>
        </w:rPr>
        <w:t>Legal Frameworks facilitating Refugee Status Determination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2868F0" w:rsidTr="00CE1B3F">
        <w:tc>
          <w:tcPr>
            <w:tcW w:w="4788" w:type="dxa"/>
          </w:tcPr>
          <w:p w:rsidR="002868F0" w:rsidRPr="002868F0" w:rsidRDefault="002868F0" w:rsidP="002868F0">
            <w:pPr>
              <w:tabs>
                <w:tab w:val="left" w:pos="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8F0">
              <w:rPr>
                <w:rFonts w:ascii="Times New Roman" w:hAnsi="Times New Roman" w:cs="Times New Roman"/>
                <w:b/>
                <w:sz w:val="24"/>
                <w:szCs w:val="24"/>
              </w:rPr>
              <w:t>Legal Framework</w:t>
            </w:r>
          </w:p>
        </w:tc>
        <w:tc>
          <w:tcPr>
            <w:tcW w:w="4788" w:type="dxa"/>
          </w:tcPr>
          <w:p w:rsidR="002868F0" w:rsidRPr="002868F0" w:rsidRDefault="002868F0" w:rsidP="002868F0">
            <w:pPr>
              <w:tabs>
                <w:tab w:val="left" w:pos="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8F0"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</w:tc>
      </w:tr>
      <w:tr w:rsidR="002868F0" w:rsidTr="00CE1B3F">
        <w:tc>
          <w:tcPr>
            <w:tcW w:w="4788" w:type="dxa"/>
          </w:tcPr>
          <w:p w:rsidR="002868F0" w:rsidRDefault="002868F0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Convention relating to the Status of Refugees and the 1967 Protocol</w:t>
            </w:r>
            <w:r w:rsidRPr="0028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2868F0" w:rsidRPr="002868F0" w:rsidRDefault="002868F0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Nauru became a party to both the </w:t>
            </w:r>
            <w:r w:rsidRPr="002868F0">
              <w:rPr>
                <w:rFonts w:ascii="Times New Roman" w:hAnsi="Times New Roman" w:cs="Times New Roman"/>
                <w:i/>
                <w:sz w:val="24"/>
                <w:szCs w:val="24"/>
              </w:rPr>
              <w:t>Convention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its </w:t>
            </w:r>
            <w:r w:rsidRPr="002868F0">
              <w:rPr>
                <w:rFonts w:ascii="Times New Roman" w:hAnsi="Times New Roman" w:cs="Times New Roman"/>
                <w:i/>
                <w:sz w:val="24"/>
                <w:szCs w:val="24"/>
              </w:rPr>
              <w:t>Protocol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28 of June 2011</w:t>
            </w:r>
          </w:p>
        </w:tc>
      </w:tr>
      <w:tr w:rsidR="002868F0" w:rsidTr="00CE1B3F">
        <w:tc>
          <w:tcPr>
            <w:tcW w:w="4788" w:type="dxa"/>
          </w:tcPr>
          <w:p w:rsidR="002868F0" w:rsidRDefault="002868F0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8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Asylum Seekers (Regional Processing Centre) Act 2012</w:t>
            </w:r>
          </w:p>
          <w:p w:rsidR="002868F0" w:rsidRDefault="00646B92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868F0" w:rsidRPr="008B3D0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https://www.unhcr.org/protection/basic/3b73b0d63/states-parties-1951-convention-its-1967-protocol.html</w:t>
              </w:r>
            </w:hyperlink>
            <w:r w:rsidR="002868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2868F0" w:rsidRDefault="002868F0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Act is to regulate the operations of the RPC’s; establish</w:t>
            </w:r>
            <w:r w:rsidR="00CE1B3F">
              <w:rPr>
                <w:rFonts w:ascii="Times New Roman" w:hAnsi="Times New Roman" w:cs="Times New Roman"/>
                <w:sz w:val="24"/>
                <w:szCs w:val="24"/>
              </w:rPr>
              <w:t xml:space="preserve"> certain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protections of asylum seekers</w:t>
            </w:r>
            <w:r w:rsidR="00CE1B3F">
              <w:rPr>
                <w:rFonts w:ascii="Times New Roman" w:hAnsi="Times New Roman" w:cs="Times New Roman"/>
                <w:sz w:val="24"/>
                <w:szCs w:val="24"/>
              </w:rPr>
              <w:t xml:space="preserve"> and impose duties on managing bodies </w:t>
            </w:r>
          </w:p>
        </w:tc>
      </w:tr>
      <w:tr w:rsidR="002868F0" w:rsidTr="00CE1B3F">
        <w:tc>
          <w:tcPr>
            <w:tcW w:w="4788" w:type="dxa"/>
          </w:tcPr>
          <w:p w:rsidR="002868F0" w:rsidRDefault="002868F0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715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Refugee Convention Act 2012</w:t>
            </w:r>
          </w:p>
          <w:p w:rsidR="00CE1B3F" w:rsidRDefault="00646B92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CE1B3F" w:rsidRPr="008B3D0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http://ronlaw.gov.nr/nauru_lpms/files/acts/5043dca85c859b2153ca08e48848b473.pdf</w:t>
              </w:r>
            </w:hyperlink>
            <w:r w:rsidR="00CE1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2868F0" w:rsidRDefault="00EF6472" w:rsidP="00EF6472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Domesticates the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Convention relating to the Status of Refugees and the 1967 Protocol</w:t>
            </w:r>
            <w:r w:rsidR="00F478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F478FE" w:rsidRPr="00F478FE" w:rsidRDefault="00F478FE" w:rsidP="00EF6472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8F0" w:rsidTr="00CE1B3F">
        <w:tc>
          <w:tcPr>
            <w:tcW w:w="4788" w:type="dxa"/>
          </w:tcPr>
          <w:p w:rsidR="002868F0" w:rsidRDefault="002868F0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 xml:space="preserve">Amendments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C715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Immigration Act 2014</w:t>
            </w: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 xml:space="preserve"> and Regulations</w:t>
            </w:r>
          </w:p>
          <w:p w:rsidR="00EF6472" w:rsidRDefault="00646B92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EF6472" w:rsidRPr="008B3D0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http://ronlaw.gov.nr/nauru_lpms/files/acts/5043dca85c859b2153ca08e48848b473.pdf</w:t>
              </w:r>
            </w:hyperlink>
            <w:r w:rsidR="00EF6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6472" w:rsidRDefault="00646B92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EF6472" w:rsidRPr="008B3D0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http://ronlaw.gov.nr/nauru_lpms/files/acts/bec3e611bdfa28b11750874f56013253.pdf</w:t>
              </w:r>
            </w:hyperlink>
            <w:r w:rsidR="00EF6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2868F0" w:rsidRPr="00EF6472" w:rsidRDefault="00EF6472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Sanctions the order for removal of a person from Nauru by the Minister who has a valid application before the Secretary pursuant to </w:t>
            </w:r>
            <w:r w:rsidRPr="00EF6472">
              <w:rPr>
                <w:rFonts w:ascii="Times New Roman" w:hAnsi="Times New Roman" w:cs="Times New Roman"/>
                <w:i/>
                <w:sz w:val="24"/>
                <w:szCs w:val="24"/>
              </w:rPr>
              <w:t>Section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of the </w:t>
            </w:r>
            <w:r w:rsidRPr="00EF6472">
              <w:rPr>
                <w:rFonts w:ascii="Times New Roman" w:hAnsi="Times New Roman" w:cs="Times New Roman"/>
                <w:i/>
                <w:sz w:val="24"/>
                <w:szCs w:val="24"/>
              </w:rPr>
              <w:t>Refugees Convention Act 2012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any determination that needs to be finalized before the Tribunal or Supreme Court of Nauru.</w:t>
            </w:r>
          </w:p>
        </w:tc>
      </w:tr>
      <w:tr w:rsidR="002868F0" w:rsidTr="00CE1B3F">
        <w:tc>
          <w:tcPr>
            <w:tcW w:w="4788" w:type="dxa"/>
          </w:tcPr>
          <w:p w:rsidR="002868F0" w:rsidRDefault="002868F0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49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Passports Act 2011</w:t>
            </w: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 xml:space="preserve"> and Regulations</w:t>
            </w:r>
          </w:p>
          <w:p w:rsidR="00EF6472" w:rsidRDefault="00646B92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F6472" w:rsidRPr="008B3D0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http://ronlaw.gov.nr/nauru_lpms/files/acts/876fb731255b8aa34b169c026a29392d.pdf</w:t>
              </w:r>
            </w:hyperlink>
            <w:r w:rsidR="00EF6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8" w:type="dxa"/>
          </w:tcPr>
          <w:p w:rsidR="002868F0" w:rsidRDefault="00EF6472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Allowing for the application of refugee travel documents</w:t>
            </w:r>
            <w:r w:rsidR="00F47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78FE" w:rsidRDefault="00F478FE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8F0" w:rsidTr="00CE1B3F">
        <w:tc>
          <w:tcPr>
            <w:tcW w:w="4788" w:type="dxa"/>
          </w:tcPr>
          <w:p w:rsidR="002868F0" w:rsidRDefault="002868F0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>Memorandum of Understanding between the Republic of Nauru and Commonwealth of Australia</w:t>
            </w:r>
          </w:p>
        </w:tc>
        <w:tc>
          <w:tcPr>
            <w:tcW w:w="4788" w:type="dxa"/>
          </w:tcPr>
          <w:p w:rsidR="002868F0" w:rsidRDefault="00A1615B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Allowing the collaboration of Nauru and Australia in the processing of asylum seeke</w:t>
            </w:r>
            <w:r w:rsidR="00F478FE">
              <w:rPr>
                <w:rFonts w:ascii="Times New Roman" w:hAnsi="Times New Roman" w:cs="Times New Roman"/>
                <w:sz w:val="24"/>
                <w:szCs w:val="24"/>
              </w:rPr>
              <w:t>rs and resettlement of refugees.</w:t>
            </w:r>
          </w:p>
          <w:p w:rsidR="00F478FE" w:rsidRDefault="00F478FE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8FE" w:rsidRDefault="00F478FE" w:rsidP="00F478FE">
            <w:pPr>
              <w:pStyle w:val="ListParagraph"/>
              <w:tabs>
                <w:tab w:val="left" w:pos="810"/>
              </w:tabs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 xml:space="preserve">The institutions in the Republic responsible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</w:p>
          <w:p w:rsidR="00F478FE" w:rsidRDefault="00F478FE" w:rsidP="00F478FE">
            <w:pPr>
              <w:pStyle w:val="ListParagraph"/>
              <w:tabs>
                <w:tab w:val="left" w:pos="810"/>
              </w:tabs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processing of refugee status for asylum </w:t>
            </w:r>
          </w:p>
          <w:p w:rsidR="00F478FE" w:rsidRPr="00F478FE" w:rsidRDefault="00F478FE" w:rsidP="00F478FE">
            <w:pPr>
              <w:pStyle w:val="ListParagraph"/>
              <w:tabs>
                <w:tab w:val="left" w:pos="810"/>
              </w:tabs>
              <w:ind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8FE">
              <w:rPr>
                <w:rFonts w:ascii="Times New Roman" w:hAnsi="Times New Roman" w:cs="Times New Roman"/>
                <w:sz w:val="24"/>
                <w:szCs w:val="24"/>
              </w:rPr>
              <w:t>seekers are as follows:</w:t>
            </w:r>
          </w:p>
          <w:p w:rsidR="00F478FE" w:rsidRPr="00106772" w:rsidRDefault="00F478FE" w:rsidP="00F478FE">
            <w:pPr>
              <w:pStyle w:val="ListParagraph"/>
              <w:tabs>
                <w:tab w:val="left" w:pos="810"/>
              </w:tabs>
              <w:ind w:left="10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8FE" w:rsidRPr="00106772" w:rsidRDefault="00F478FE" w:rsidP="00F478FE">
            <w:pPr>
              <w:pStyle w:val="ListParagraph"/>
              <w:numPr>
                <w:ilvl w:val="0"/>
                <w:numId w:val="2"/>
              </w:numPr>
              <w:tabs>
                <w:tab w:val="left" w:pos="810"/>
              </w:tabs>
              <w:ind w:left="792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>Determination of refugee status by Secretary;</w:t>
            </w:r>
          </w:p>
          <w:p w:rsidR="00F478FE" w:rsidRPr="00106772" w:rsidRDefault="00F478FE" w:rsidP="00F478FE">
            <w:pPr>
              <w:pStyle w:val="ListParagraph"/>
              <w:numPr>
                <w:ilvl w:val="0"/>
                <w:numId w:val="2"/>
              </w:numPr>
              <w:tabs>
                <w:tab w:val="left" w:pos="810"/>
              </w:tabs>
              <w:ind w:left="792" w:hanging="20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 xml:space="preserve">Refugee Status Determination Tribunal (RSD); </w:t>
            </w:r>
          </w:p>
          <w:p w:rsidR="00F478FE" w:rsidRPr="00106772" w:rsidRDefault="00F478FE" w:rsidP="00F478FE">
            <w:pPr>
              <w:pStyle w:val="ListParagraph"/>
              <w:numPr>
                <w:ilvl w:val="0"/>
                <w:numId w:val="2"/>
              </w:numPr>
              <w:tabs>
                <w:tab w:val="left" w:pos="810"/>
              </w:tabs>
              <w:ind w:left="792" w:hanging="20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 xml:space="preserve">Supreme Court of Nauru sitting as the appeals body from decision of the Tribunal; </w:t>
            </w:r>
          </w:p>
          <w:p w:rsidR="00F478FE" w:rsidRPr="004E7FE5" w:rsidRDefault="00F478FE" w:rsidP="00F478FE">
            <w:pPr>
              <w:pStyle w:val="ListParagraph"/>
              <w:numPr>
                <w:ilvl w:val="0"/>
                <w:numId w:val="2"/>
              </w:numPr>
              <w:tabs>
                <w:tab w:val="left" w:pos="810"/>
              </w:tabs>
              <w:ind w:left="792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>Until May 2018,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 xml:space="preserve"> High Court of Australia was the final appellate court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106772">
              <w:rPr>
                <w:rFonts w:ascii="Times New Roman" w:hAnsi="Times New Roman" w:cs="Times New Roman"/>
                <w:sz w:val="24"/>
                <w:szCs w:val="24"/>
              </w:rPr>
              <w:t>appeals from the decisions of the Supreme Court of Nauru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Currently, the final appellate court is the Nauru Court of Appeal. Statistics are shown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in Annex 8. There were a total of 139 matters determined of which 86 were dismissed, 27 remitted following hearing and 26 remitted by consent. 112 proceeded to hearing of which 4 judgements were reserved, 81 dismissed and 27 remitted. There are 15 matters not yet listed for hearing. 22 appeals at the High Court of Australia were dismissed and 1 was remitted in 2017. Of the23 matters that were determined at the High Court, 6 appeals were dismissed, 12 were allowed and 5 were remitted by consent. </w:t>
            </w:r>
          </w:p>
          <w:p w:rsidR="00F478FE" w:rsidRDefault="00F478FE" w:rsidP="002868F0">
            <w:pPr>
              <w:tabs>
                <w:tab w:val="left" w:pos="8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68F0" w:rsidRPr="002868F0" w:rsidRDefault="002868F0" w:rsidP="002868F0">
      <w:pPr>
        <w:tabs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868F0" w:rsidRPr="00106772" w:rsidRDefault="002868F0" w:rsidP="002868F0">
      <w:pPr>
        <w:pStyle w:val="ListParagraph"/>
        <w:tabs>
          <w:tab w:val="left" w:pos="810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2868F0" w:rsidRPr="007125B9" w:rsidRDefault="002868F0" w:rsidP="002868F0">
      <w:pPr>
        <w:pStyle w:val="ListParagraph"/>
        <w:tabs>
          <w:tab w:val="left" w:pos="810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7125B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868F0" w:rsidRPr="00106772" w:rsidRDefault="002868F0" w:rsidP="002868F0">
      <w:pPr>
        <w:pStyle w:val="ListParagraph"/>
        <w:tabs>
          <w:tab w:val="left" w:pos="810"/>
        </w:tabs>
        <w:ind w:left="2160"/>
        <w:jc w:val="both"/>
        <w:rPr>
          <w:rFonts w:ascii="Times New Roman" w:hAnsi="Times New Roman" w:cs="Times New Roman"/>
          <w:sz w:val="24"/>
          <w:szCs w:val="24"/>
        </w:rPr>
      </w:pPr>
    </w:p>
    <w:p w:rsidR="002868F0" w:rsidRPr="002868F0" w:rsidRDefault="002868F0" w:rsidP="002868F0">
      <w:pPr>
        <w:tabs>
          <w:tab w:val="left" w:pos="81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A2C67" w:rsidRDefault="000A2C67"/>
    <w:sectPr w:rsidR="000A2C6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14B" w:rsidRDefault="0035114B" w:rsidP="002868F0">
      <w:pPr>
        <w:spacing w:after="0" w:line="240" w:lineRule="auto"/>
      </w:pPr>
      <w:r>
        <w:separator/>
      </w:r>
    </w:p>
  </w:endnote>
  <w:endnote w:type="continuationSeparator" w:id="0">
    <w:p w:rsidR="0035114B" w:rsidRDefault="0035114B" w:rsidP="00286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9169713"/>
      <w:placeholder>
        <w:docPart w:val="DBEDB54E5CDC49C6A272F8C012A05660"/>
      </w:placeholder>
      <w:temporary/>
      <w:showingPlcHdr/>
    </w:sdtPr>
    <w:sdtEndPr/>
    <w:sdtContent>
      <w:p w:rsidR="002868F0" w:rsidRDefault="002868F0">
        <w:pPr>
          <w:pStyle w:val="Footer"/>
        </w:pPr>
        <w:r>
          <w:t>[Type text]</w:t>
        </w:r>
      </w:p>
    </w:sdtContent>
  </w:sdt>
  <w:p w:rsidR="002868F0" w:rsidRDefault="002868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14B" w:rsidRDefault="0035114B" w:rsidP="002868F0">
      <w:pPr>
        <w:spacing w:after="0" w:line="240" w:lineRule="auto"/>
      </w:pPr>
      <w:r>
        <w:separator/>
      </w:r>
    </w:p>
  </w:footnote>
  <w:footnote w:type="continuationSeparator" w:id="0">
    <w:p w:rsidR="0035114B" w:rsidRDefault="0035114B" w:rsidP="00286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68F0" w:rsidRPr="002868F0" w:rsidRDefault="002868F0">
    <w:pPr>
      <w:pStyle w:val="Header"/>
      <w:rPr>
        <w:rFonts w:ascii="Times New Roman" w:hAnsi="Times New Roman" w:cs="Times New Roman"/>
        <w:sz w:val="24"/>
        <w:szCs w:val="24"/>
      </w:rPr>
    </w:pPr>
    <w:r w:rsidRPr="002868F0">
      <w:rPr>
        <w:rFonts w:ascii="Times New Roman" w:hAnsi="Times New Roman" w:cs="Times New Roman"/>
        <w:sz w:val="24"/>
        <w:szCs w:val="24"/>
      </w:rPr>
      <w:t>Annex 8 – 3</w:t>
    </w:r>
    <w:r w:rsidRPr="002868F0">
      <w:rPr>
        <w:rFonts w:ascii="Times New Roman" w:hAnsi="Times New Roman" w:cs="Times New Roman"/>
        <w:sz w:val="24"/>
        <w:szCs w:val="24"/>
        <w:vertAlign w:val="superscript"/>
      </w:rPr>
      <w:t>rd</w:t>
    </w:r>
    <w:r w:rsidRPr="002868F0">
      <w:rPr>
        <w:rFonts w:ascii="Times New Roman" w:hAnsi="Times New Roman" w:cs="Times New Roman"/>
        <w:sz w:val="24"/>
        <w:szCs w:val="24"/>
      </w:rPr>
      <w:t xml:space="preserve"> Cycle UPR National Report</w:t>
    </w:r>
  </w:p>
  <w:p w:rsidR="002868F0" w:rsidRDefault="002868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E02BE"/>
    <w:multiLevelType w:val="hybridMultilevel"/>
    <w:tmpl w:val="947A8AD2"/>
    <w:lvl w:ilvl="0" w:tplc="55BEE354">
      <w:start w:val="1"/>
      <w:numFmt w:val="lowerLetter"/>
      <w:lvlText w:val="(%1)"/>
      <w:lvlJc w:val="left"/>
      <w:pPr>
        <w:ind w:left="13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78A22D59"/>
    <w:multiLevelType w:val="hybridMultilevel"/>
    <w:tmpl w:val="934E82A6"/>
    <w:lvl w:ilvl="0" w:tplc="E6525BA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8F0"/>
    <w:rsid w:val="000A2C67"/>
    <w:rsid w:val="000D5C8C"/>
    <w:rsid w:val="002868F0"/>
    <w:rsid w:val="0035114B"/>
    <w:rsid w:val="006127A5"/>
    <w:rsid w:val="00646B92"/>
    <w:rsid w:val="009707AA"/>
    <w:rsid w:val="00A1615B"/>
    <w:rsid w:val="00BE1661"/>
    <w:rsid w:val="00CE1B3F"/>
    <w:rsid w:val="00E944CE"/>
    <w:rsid w:val="00EF6472"/>
    <w:rsid w:val="00F4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90CD72-F84A-4946-8387-A0C0BC34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68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6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8F0"/>
  </w:style>
  <w:style w:type="paragraph" w:styleId="Footer">
    <w:name w:val="footer"/>
    <w:basedOn w:val="Normal"/>
    <w:link w:val="FooterChar"/>
    <w:uiPriority w:val="99"/>
    <w:unhideWhenUsed/>
    <w:rsid w:val="00286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8F0"/>
  </w:style>
  <w:style w:type="paragraph" w:styleId="BalloonText">
    <w:name w:val="Balloon Text"/>
    <w:basedOn w:val="Normal"/>
    <w:link w:val="BalloonTextChar"/>
    <w:uiPriority w:val="99"/>
    <w:semiHidden/>
    <w:unhideWhenUsed/>
    <w:rsid w:val="0028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8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86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8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nlaw.gov.nr/nauru_lpms/files/acts/5043dca85c859b2153ca08e48848b473.pdf" TargetMode="External"/><Relationship Id="rId13" Type="http://schemas.openxmlformats.org/officeDocument/2006/relationships/footer" Target="footer1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www.unhcr.org/protection/basic/3b73b0d63/states-parties-1951-convention-its-1967-protocol.html" TargetMode="External"/><Relationship Id="rId12" Type="http://schemas.openxmlformats.org/officeDocument/2006/relationships/header" Target="head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onlaw.gov.nr/nauru_lpms/files/acts/876fb731255b8aa34b169c026a29392d.pdf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://ronlaw.gov.nr/nauru_lpms/files/acts/bec3e611bdfa28b11750874f56013253.pdf" TargetMode="Externa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yperlink" Target="http://ronlaw.gov.nr/nauru_lpms/files/acts/5043dca85c859b2153ca08e48848b473.pdf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EDB54E5CDC49C6A272F8C012A056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012706-B17E-4DFF-A3D1-59340F913476}"/>
      </w:docPartPr>
      <w:docPartBody>
        <w:p w:rsidR="00330935" w:rsidRDefault="008670FB" w:rsidP="008670FB">
          <w:pPr>
            <w:pStyle w:val="DBEDB54E5CDC49C6A272F8C012A0566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0FB"/>
    <w:rsid w:val="00105D65"/>
    <w:rsid w:val="00330935"/>
    <w:rsid w:val="008670FB"/>
    <w:rsid w:val="009A7148"/>
    <w:rsid w:val="00EA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EDB54E5CDC49C6A272F8C012A05660">
    <w:name w:val="DBEDB54E5CDC49C6A272F8C012A05660"/>
    <w:rsid w:val="008670FB"/>
  </w:style>
  <w:style w:type="paragraph" w:customStyle="1" w:styleId="03E5B06273C843CE97F18FC8797E45FA">
    <w:name w:val="03E5B06273C843CE97F18FC8797E45FA"/>
    <w:rsid w:val="00867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CA8F9A7-C856-4D60-A16A-CFBDD68DA711}"/>
</file>

<file path=customXml/itemProps2.xml><?xml version="1.0" encoding="utf-8"?>
<ds:datastoreItem xmlns:ds="http://schemas.openxmlformats.org/officeDocument/2006/customXml" ds:itemID="{5F4D7779-95E4-4DF7-9BAD-CB4859736AB2}"/>
</file>

<file path=customXml/itemProps3.xml><?xml version="1.0" encoding="utf-8"?>
<ds:datastoreItem xmlns:ds="http://schemas.openxmlformats.org/officeDocument/2006/customXml" ds:itemID="{C1FF7974-1D8E-4C83-81ED-16FC6F9A52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2664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Duburiya</dc:creator>
  <cp:lastModifiedBy>IHARA Sumiko</cp:lastModifiedBy>
  <cp:revision>2</cp:revision>
  <dcterms:created xsi:type="dcterms:W3CDTF">2020-12-11T13:15:00Z</dcterms:created>
  <dcterms:modified xsi:type="dcterms:W3CDTF">2020-12-11T13:15:00Z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1505400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