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DAEC4D" w14:textId="77777777" w:rsidR="00A01E4A" w:rsidRDefault="00A01E4A" w:rsidP="00A01E4A">
      <w:pPr>
        <w:jc w:val="center"/>
        <w:rPr>
          <w:rFonts w:ascii="Times New Roman" w:hAnsi="Times New Roman" w:cs="Times New Roman"/>
          <w:b/>
          <w:sz w:val="28"/>
        </w:rPr>
      </w:pPr>
      <w:bookmarkStart w:id="0" w:name="_GoBack"/>
      <w:bookmarkEnd w:id="0"/>
    </w:p>
    <w:p w14:paraId="40A8110D" w14:textId="77777777" w:rsidR="00FA3BBB" w:rsidRDefault="00A01E4A" w:rsidP="00A01E4A">
      <w:pPr>
        <w:jc w:val="center"/>
        <w:rPr>
          <w:rFonts w:ascii="Times New Roman" w:hAnsi="Times New Roman" w:cs="Times New Roman"/>
          <w:b/>
          <w:sz w:val="28"/>
        </w:rPr>
      </w:pPr>
      <w:r>
        <w:rPr>
          <w:rFonts w:ascii="Times New Roman" w:hAnsi="Times New Roman" w:cs="Times New Roman"/>
          <w:b/>
          <w:sz w:val="28"/>
        </w:rPr>
        <w:t xml:space="preserve">Administrative Structure </w:t>
      </w:r>
      <w:r w:rsidRPr="00A01E4A">
        <w:rPr>
          <w:rFonts w:ascii="Times New Roman" w:hAnsi="Times New Roman" w:cs="Times New Roman"/>
          <w:b/>
          <w:sz w:val="28"/>
        </w:rPr>
        <w:t>of Nauru Judiciary</w:t>
      </w:r>
    </w:p>
    <w:p w14:paraId="2A39320C" w14:textId="270BC9B8" w:rsidR="00DC0188" w:rsidRDefault="00DC0188" w:rsidP="00A01E4A">
      <w:pPr>
        <w:spacing w:before="120" w:after="120" w:line="240" w:lineRule="atLeast"/>
        <w:ind w:left="720"/>
        <w:jc w:val="both"/>
        <w:rPr>
          <w:rFonts w:ascii="Times New Roman" w:eastAsia="Times New Roman" w:hAnsi="Times New Roman"/>
          <w:bCs/>
          <w:sz w:val="24"/>
          <w:lang w:val="en-GB" w:eastAsia="en-GB"/>
        </w:rPr>
      </w:pPr>
      <w:r>
        <w:rPr>
          <w:rFonts w:ascii="Times New Roman" w:eastAsia="Times New Roman" w:hAnsi="Times New Roman"/>
          <w:bCs/>
          <w:sz w:val="24"/>
          <w:lang w:val="en-GB" w:eastAsia="en-GB"/>
        </w:rPr>
        <w:t>I</w:t>
      </w:r>
      <w:r w:rsidRPr="00DC0188">
        <w:rPr>
          <w:rFonts w:ascii="Times New Roman" w:eastAsia="Times New Roman" w:hAnsi="Times New Roman"/>
          <w:b/>
          <w:sz w:val="24"/>
          <w:lang w:val="en-GB" w:eastAsia="en-GB"/>
        </w:rPr>
        <w:t>ntroduction</w:t>
      </w:r>
    </w:p>
    <w:p w14:paraId="4B3F1B59" w14:textId="26231A92" w:rsidR="00DC0188" w:rsidRDefault="00DC0188" w:rsidP="00A01E4A">
      <w:pPr>
        <w:spacing w:before="120" w:after="120" w:line="240" w:lineRule="atLeast"/>
        <w:ind w:left="720"/>
        <w:jc w:val="both"/>
        <w:rPr>
          <w:rFonts w:ascii="Times New Roman" w:eastAsia="Times New Roman" w:hAnsi="Times New Roman"/>
          <w:bCs/>
          <w:sz w:val="24"/>
          <w:lang w:val="en-GB" w:eastAsia="en-GB"/>
        </w:rPr>
      </w:pPr>
      <w:r>
        <w:rPr>
          <w:rFonts w:ascii="Times New Roman" w:eastAsia="Times New Roman" w:hAnsi="Times New Roman"/>
          <w:bCs/>
          <w:sz w:val="24"/>
          <w:lang w:val="en-GB" w:eastAsia="en-GB"/>
        </w:rPr>
        <w:t xml:space="preserve">This report is specially prepared for the purposes of the Universal Periodic Review in respect of the Judiciary. In the last cycle of review and there are other associated issues raised by various commentators during the course of the past 4 years about the functioning of the Judiciary in the Republic. It is important that this report is submitted separately with a brief comment in the actual report so that the peer review can be undertaken based on current status and actual administrative set up. </w:t>
      </w:r>
    </w:p>
    <w:p w14:paraId="2BBF156D" w14:textId="32D630E6" w:rsidR="00DC0188" w:rsidRPr="00DC0188" w:rsidRDefault="00DC0188" w:rsidP="00A01E4A">
      <w:pPr>
        <w:spacing w:before="120" w:after="120" w:line="240" w:lineRule="atLeast"/>
        <w:ind w:left="720"/>
        <w:jc w:val="both"/>
        <w:rPr>
          <w:rFonts w:ascii="Times New Roman" w:eastAsia="Times New Roman" w:hAnsi="Times New Roman"/>
          <w:b/>
          <w:sz w:val="24"/>
          <w:lang w:val="en-GB" w:eastAsia="en-GB"/>
        </w:rPr>
      </w:pPr>
      <w:r w:rsidRPr="00DC0188">
        <w:rPr>
          <w:rFonts w:ascii="Times New Roman" w:eastAsia="Times New Roman" w:hAnsi="Times New Roman"/>
          <w:b/>
          <w:sz w:val="24"/>
          <w:lang w:val="en-GB" w:eastAsia="en-GB"/>
        </w:rPr>
        <w:t>Basic structure</w:t>
      </w:r>
    </w:p>
    <w:p w14:paraId="464987A5" w14:textId="7B29CD47" w:rsidR="00DC0188" w:rsidRDefault="00DC0188" w:rsidP="00A01E4A">
      <w:pPr>
        <w:spacing w:before="120" w:after="120" w:line="240" w:lineRule="atLeast"/>
        <w:ind w:left="720"/>
        <w:jc w:val="both"/>
        <w:rPr>
          <w:rFonts w:ascii="Times New Roman" w:eastAsia="Times New Roman" w:hAnsi="Times New Roman"/>
          <w:bCs/>
          <w:sz w:val="24"/>
          <w:lang w:val="en-GB" w:eastAsia="en-GB"/>
        </w:rPr>
      </w:pPr>
      <w:r>
        <w:rPr>
          <w:rFonts w:ascii="Times New Roman" w:eastAsia="Times New Roman" w:hAnsi="Times New Roman"/>
          <w:bCs/>
          <w:sz w:val="24"/>
          <w:lang w:val="en-GB" w:eastAsia="en-GB"/>
        </w:rPr>
        <w:t xml:space="preserve">The court structure was substantially overhauled after the last review. Its current structure is in an ascending hierarchy as follows: </w:t>
      </w:r>
    </w:p>
    <w:p w14:paraId="0DB51A60" w14:textId="5C1DA0E9" w:rsidR="00DC0188" w:rsidRDefault="00DC0188" w:rsidP="00DC0188">
      <w:pPr>
        <w:pStyle w:val="ListParagraph"/>
        <w:numPr>
          <w:ilvl w:val="0"/>
          <w:numId w:val="5"/>
        </w:numPr>
        <w:spacing w:before="120" w:after="120" w:line="240" w:lineRule="atLeast"/>
        <w:jc w:val="both"/>
        <w:rPr>
          <w:rFonts w:ascii="Times New Roman" w:eastAsia="Times New Roman" w:hAnsi="Times New Roman"/>
          <w:bCs/>
          <w:sz w:val="24"/>
          <w:lang w:val="en-GB" w:eastAsia="en-GB"/>
        </w:rPr>
      </w:pPr>
      <w:r>
        <w:rPr>
          <w:rFonts w:ascii="Times New Roman" w:eastAsia="Times New Roman" w:hAnsi="Times New Roman"/>
          <w:bCs/>
          <w:sz w:val="24"/>
          <w:lang w:val="en-GB" w:eastAsia="en-GB"/>
        </w:rPr>
        <w:t>District Court;</w:t>
      </w:r>
    </w:p>
    <w:p w14:paraId="77B3012E" w14:textId="781B53B7" w:rsidR="00DC0188" w:rsidRDefault="00DC0188" w:rsidP="00DC0188">
      <w:pPr>
        <w:pStyle w:val="ListParagraph"/>
        <w:numPr>
          <w:ilvl w:val="0"/>
          <w:numId w:val="5"/>
        </w:numPr>
        <w:spacing w:before="120" w:after="120" w:line="240" w:lineRule="atLeast"/>
        <w:jc w:val="both"/>
        <w:rPr>
          <w:rFonts w:ascii="Times New Roman" w:eastAsia="Times New Roman" w:hAnsi="Times New Roman"/>
          <w:bCs/>
          <w:sz w:val="24"/>
          <w:lang w:val="en-GB" w:eastAsia="en-GB"/>
        </w:rPr>
      </w:pPr>
      <w:r>
        <w:rPr>
          <w:rFonts w:ascii="Times New Roman" w:eastAsia="Times New Roman" w:hAnsi="Times New Roman"/>
          <w:bCs/>
          <w:sz w:val="24"/>
          <w:lang w:val="en-GB" w:eastAsia="en-GB"/>
        </w:rPr>
        <w:t>Supreme Court;</w:t>
      </w:r>
    </w:p>
    <w:p w14:paraId="4B679E66" w14:textId="66927AFB" w:rsidR="00DC0188" w:rsidRDefault="00DC0188" w:rsidP="00DC0188">
      <w:pPr>
        <w:pStyle w:val="ListParagraph"/>
        <w:numPr>
          <w:ilvl w:val="0"/>
          <w:numId w:val="5"/>
        </w:numPr>
        <w:spacing w:before="120" w:after="120" w:line="240" w:lineRule="atLeast"/>
        <w:jc w:val="both"/>
        <w:rPr>
          <w:rFonts w:ascii="Times New Roman" w:eastAsia="Times New Roman" w:hAnsi="Times New Roman"/>
          <w:bCs/>
          <w:sz w:val="24"/>
          <w:lang w:val="en-GB" w:eastAsia="en-GB"/>
        </w:rPr>
      </w:pPr>
      <w:r>
        <w:rPr>
          <w:rFonts w:ascii="Times New Roman" w:eastAsia="Times New Roman" w:hAnsi="Times New Roman"/>
          <w:bCs/>
          <w:sz w:val="24"/>
          <w:lang w:val="en-GB" w:eastAsia="en-GB"/>
        </w:rPr>
        <w:t xml:space="preserve">Nauru Court of Appeal. </w:t>
      </w:r>
    </w:p>
    <w:p w14:paraId="1C70CE31" w14:textId="24A92BC0" w:rsidR="00DC0188" w:rsidRDefault="00DC0188" w:rsidP="00DC0188">
      <w:pPr>
        <w:spacing w:before="120" w:after="120" w:line="240" w:lineRule="atLeast"/>
        <w:ind w:left="720"/>
        <w:jc w:val="both"/>
        <w:rPr>
          <w:rFonts w:ascii="Times New Roman" w:eastAsia="Times New Roman" w:hAnsi="Times New Roman"/>
          <w:bCs/>
          <w:sz w:val="24"/>
          <w:lang w:val="en-GB" w:eastAsia="en-GB"/>
        </w:rPr>
      </w:pPr>
      <w:r>
        <w:rPr>
          <w:rFonts w:ascii="Times New Roman" w:eastAsia="Times New Roman" w:hAnsi="Times New Roman"/>
          <w:bCs/>
          <w:sz w:val="24"/>
          <w:lang w:val="en-GB" w:eastAsia="en-GB"/>
        </w:rPr>
        <w:t xml:space="preserve">The three courts are now established under their own respective statutes, </w:t>
      </w:r>
      <w:r w:rsidRPr="008267F5">
        <w:rPr>
          <w:rFonts w:ascii="Times New Roman" w:eastAsia="Times New Roman" w:hAnsi="Times New Roman"/>
          <w:bCs/>
          <w:i/>
          <w:iCs/>
          <w:sz w:val="24"/>
          <w:lang w:val="en-GB" w:eastAsia="en-GB"/>
        </w:rPr>
        <w:t>District Court Act 2018</w:t>
      </w:r>
      <w:r>
        <w:rPr>
          <w:rFonts w:ascii="Times New Roman" w:eastAsia="Times New Roman" w:hAnsi="Times New Roman"/>
          <w:bCs/>
          <w:sz w:val="24"/>
          <w:lang w:val="en-GB" w:eastAsia="en-GB"/>
        </w:rPr>
        <w:t xml:space="preserve">, </w:t>
      </w:r>
      <w:r w:rsidRPr="008267F5">
        <w:rPr>
          <w:rFonts w:ascii="Times New Roman" w:eastAsia="Times New Roman" w:hAnsi="Times New Roman"/>
          <w:bCs/>
          <w:i/>
          <w:iCs/>
          <w:sz w:val="24"/>
          <w:lang w:val="en-GB" w:eastAsia="en-GB"/>
        </w:rPr>
        <w:t>Supreme Court Act 2018</w:t>
      </w:r>
      <w:r>
        <w:rPr>
          <w:rFonts w:ascii="Times New Roman" w:eastAsia="Times New Roman" w:hAnsi="Times New Roman"/>
          <w:bCs/>
          <w:sz w:val="24"/>
          <w:lang w:val="en-GB" w:eastAsia="en-GB"/>
        </w:rPr>
        <w:t xml:space="preserve"> and the </w:t>
      </w:r>
      <w:r w:rsidRPr="008267F5">
        <w:rPr>
          <w:rFonts w:ascii="Times New Roman" w:eastAsia="Times New Roman" w:hAnsi="Times New Roman"/>
          <w:bCs/>
          <w:i/>
          <w:iCs/>
          <w:sz w:val="24"/>
          <w:lang w:val="en-GB" w:eastAsia="en-GB"/>
        </w:rPr>
        <w:t>Nauru Court of Appeal Act 2018</w:t>
      </w:r>
      <w:r>
        <w:rPr>
          <w:rFonts w:ascii="Times New Roman" w:eastAsia="Times New Roman" w:hAnsi="Times New Roman"/>
          <w:bCs/>
          <w:sz w:val="24"/>
          <w:lang w:val="en-GB" w:eastAsia="en-GB"/>
        </w:rPr>
        <w:t xml:space="preserve">. This lead to the repeal of the </w:t>
      </w:r>
      <w:r w:rsidRPr="008267F5">
        <w:rPr>
          <w:rFonts w:ascii="Times New Roman" w:eastAsia="Times New Roman" w:hAnsi="Times New Roman"/>
          <w:bCs/>
          <w:i/>
          <w:iCs/>
          <w:sz w:val="24"/>
          <w:lang w:val="en-GB" w:eastAsia="en-GB"/>
        </w:rPr>
        <w:t>Courts Act 1972</w:t>
      </w:r>
      <w:r>
        <w:rPr>
          <w:rFonts w:ascii="Times New Roman" w:eastAsia="Times New Roman" w:hAnsi="Times New Roman"/>
          <w:bCs/>
          <w:sz w:val="24"/>
          <w:lang w:val="en-GB" w:eastAsia="en-GB"/>
        </w:rPr>
        <w:t xml:space="preserve"> and the </w:t>
      </w:r>
      <w:r w:rsidRPr="008267F5">
        <w:rPr>
          <w:rFonts w:ascii="Times New Roman" w:eastAsia="Times New Roman" w:hAnsi="Times New Roman"/>
          <w:bCs/>
          <w:i/>
          <w:iCs/>
          <w:sz w:val="24"/>
          <w:lang w:val="en-GB" w:eastAsia="en-GB"/>
        </w:rPr>
        <w:t>Appeals Act 1972</w:t>
      </w:r>
      <w:r>
        <w:rPr>
          <w:rFonts w:ascii="Times New Roman" w:eastAsia="Times New Roman" w:hAnsi="Times New Roman"/>
          <w:bCs/>
          <w:sz w:val="24"/>
          <w:lang w:val="en-GB" w:eastAsia="en-GB"/>
        </w:rPr>
        <w:t xml:space="preserve">. The repeal of the two Acts and the separation of the court by different statutes was necessary to ensure that there is clear legislative separation within the different hierarchy of the courts. </w:t>
      </w:r>
    </w:p>
    <w:p w14:paraId="090019CE" w14:textId="768A4CAD" w:rsidR="00DC0188" w:rsidRPr="00DC0188" w:rsidRDefault="00DC0188" w:rsidP="00DC0188">
      <w:pPr>
        <w:spacing w:before="120" w:after="120" w:line="240" w:lineRule="atLeast"/>
        <w:ind w:left="720"/>
        <w:jc w:val="both"/>
        <w:rPr>
          <w:rFonts w:ascii="Times New Roman" w:eastAsia="Times New Roman" w:hAnsi="Times New Roman"/>
          <w:bCs/>
          <w:sz w:val="24"/>
          <w:lang w:val="en-GB" w:eastAsia="en-GB"/>
        </w:rPr>
      </w:pPr>
      <w:r>
        <w:rPr>
          <w:rFonts w:ascii="Times New Roman" w:eastAsia="Times New Roman" w:hAnsi="Times New Roman"/>
          <w:bCs/>
          <w:sz w:val="24"/>
          <w:lang w:val="en-GB" w:eastAsia="en-GB"/>
        </w:rPr>
        <w:t xml:space="preserve">The remote final appellate court being the Australian High Court was replaced by the Nauru Court of Appeal. This was a move similar to other countries including New Zealand and Australia who moved their final appellate court from the Privy Council to their own High Court (Australia) and Supreme Court (New Zealand). The Nauru Court of Appeal now has a much broader jurisdiction on matters which can be appealed and the cost of such appeals is almost negligible.  </w:t>
      </w:r>
    </w:p>
    <w:p w14:paraId="7EEC5479" w14:textId="77777777" w:rsidR="00DC0188" w:rsidRDefault="00A01E4A" w:rsidP="00A01E4A">
      <w:pPr>
        <w:spacing w:before="120" w:after="120" w:line="240" w:lineRule="atLeast"/>
        <w:ind w:left="720"/>
        <w:jc w:val="both"/>
        <w:rPr>
          <w:rFonts w:ascii="Times New Roman" w:eastAsia="Times New Roman" w:hAnsi="Times New Roman"/>
          <w:bCs/>
          <w:sz w:val="24"/>
          <w:lang w:val="en-GB" w:eastAsia="en-GB"/>
        </w:rPr>
      </w:pPr>
      <w:r w:rsidRPr="00DA2B8B">
        <w:rPr>
          <w:rFonts w:ascii="Times New Roman" w:eastAsia="Times New Roman" w:hAnsi="Times New Roman"/>
          <w:bCs/>
          <w:sz w:val="24"/>
          <w:lang w:val="en-GB" w:eastAsia="en-GB"/>
        </w:rPr>
        <w:t xml:space="preserve">The Chief Justice is the head of </w:t>
      </w:r>
      <w:r>
        <w:rPr>
          <w:rFonts w:ascii="Times New Roman" w:eastAsia="Times New Roman" w:hAnsi="Times New Roman"/>
          <w:bCs/>
          <w:sz w:val="24"/>
          <w:lang w:val="en-GB" w:eastAsia="en-GB"/>
        </w:rPr>
        <w:t xml:space="preserve">the </w:t>
      </w:r>
      <w:r w:rsidRPr="00DA2B8B">
        <w:rPr>
          <w:rFonts w:ascii="Times New Roman" w:eastAsia="Times New Roman" w:hAnsi="Times New Roman"/>
          <w:bCs/>
          <w:sz w:val="24"/>
          <w:lang w:val="en-GB" w:eastAsia="en-GB"/>
        </w:rPr>
        <w:t xml:space="preserve">Judiciary. </w:t>
      </w:r>
      <w:r w:rsidR="00DC0188">
        <w:rPr>
          <w:rFonts w:ascii="Times New Roman" w:eastAsia="Times New Roman" w:hAnsi="Times New Roman"/>
          <w:bCs/>
          <w:sz w:val="24"/>
          <w:lang w:val="en-GB" w:eastAsia="en-GB"/>
        </w:rPr>
        <w:t xml:space="preserve">Under the Constitution, the Chief Justice is also the President of the Nauru Court of Appeal. This is similar to other Commonwealth jurisdictions where the Chief Justice sits in the highest original jurisdiction court and in the final appellate court. </w:t>
      </w:r>
    </w:p>
    <w:p w14:paraId="0AA2F9B7" w14:textId="68366602" w:rsidR="00A01E4A" w:rsidRPr="00DA2B8B" w:rsidRDefault="00A01E4A" w:rsidP="00A01E4A">
      <w:pPr>
        <w:spacing w:before="120" w:after="120" w:line="240" w:lineRule="atLeast"/>
        <w:ind w:left="720"/>
        <w:jc w:val="both"/>
        <w:rPr>
          <w:rFonts w:ascii="Times New Roman" w:eastAsia="Times New Roman" w:hAnsi="Times New Roman"/>
          <w:bCs/>
          <w:sz w:val="24"/>
          <w:lang w:val="en-GB" w:eastAsia="en-GB"/>
        </w:rPr>
      </w:pPr>
      <w:r w:rsidRPr="00DA2B8B">
        <w:rPr>
          <w:rFonts w:ascii="Times New Roman" w:eastAsia="Times New Roman" w:hAnsi="Times New Roman"/>
          <w:bCs/>
          <w:sz w:val="24"/>
          <w:lang w:val="en-GB" w:eastAsia="en-GB"/>
        </w:rPr>
        <w:t xml:space="preserve">The Registrar is the administrative head of the Department of Judiciary. There are </w:t>
      </w:r>
      <w:r w:rsidR="00756BFB">
        <w:rPr>
          <w:rFonts w:ascii="Times New Roman" w:eastAsia="Times New Roman" w:hAnsi="Times New Roman"/>
          <w:bCs/>
          <w:sz w:val="24"/>
          <w:lang w:val="en-GB" w:eastAsia="en-GB"/>
        </w:rPr>
        <w:t>four</w:t>
      </w:r>
      <w:r w:rsidRPr="00DA2B8B">
        <w:rPr>
          <w:rFonts w:ascii="Times New Roman" w:eastAsia="Times New Roman" w:hAnsi="Times New Roman"/>
          <w:bCs/>
          <w:sz w:val="24"/>
          <w:lang w:val="en-GB" w:eastAsia="en-GB"/>
        </w:rPr>
        <w:t xml:space="preserve"> Deputy Registrar positions established to oversee the different hierarchies of courts, that is</w:t>
      </w:r>
      <w:r>
        <w:rPr>
          <w:rFonts w:ascii="Times New Roman" w:eastAsia="Times New Roman" w:hAnsi="Times New Roman"/>
          <w:bCs/>
          <w:sz w:val="24"/>
          <w:lang w:val="en-GB" w:eastAsia="en-GB"/>
        </w:rPr>
        <w:t>,</w:t>
      </w:r>
      <w:r w:rsidRPr="00DA2B8B">
        <w:rPr>
          <w:rFonts w:ascii="Times New Roman" w:eastAsia="Times New Roman" w:hAnsi="Times New Roman"/>
          <w:bCs/>
          <w:sz w:val="24"/>
          <w:lang w:val="en-GB" w:eastAsia="en-GB"/>
        </w:rPr>
        <w:t xml:space="preserve"> the District Court, the Supreme Court and the Nauru Court of Appeal. The hierarchies of courts under the </w:t>
      </w:r>
      <w:r w:rsidRPr="00C5627D">
        <w:rPr>
          <w:rFonts w:ascii="Times New Roman" w:eastAsia="Times New Roman" w:hAnsi="Times New Roman"/>
          <w:bCs/>
          <w:i/>
          <w:iCs/>
          <w:sz w:val="24"/>
          <w:lang w:val="en-GB" w:eastAsia="en-GB"/>
        </w:rPr>
        <w:t>District Court Act 2018</w:t>
      </w:r>
      <w:r w:rsidRPr="00DA2B8B">
        <w:rPr>
          <w:rFonts w:ascii="Times New Roman" w:eastAsia="Times New Roman" w:hAnsi="Times New Roman"/>
          <w:bCs/>
          <w:sz w:val="24"/>
          <w:lang w:val="en-GB" w:eastAsia="en-GB"/>
        </w:rPr>
        <w:t xml:space="preserve">, the </w:t>
      </w:r>
      <w:r w:rsidRPr="00C5627D">
        <w:rPr>
          <w:rFonts w:ascii="Times New Roman" w:eastAsia="Times New Roman" w:hAnsi="Times New Roman"/>
          <w:bCs/>
          <w:i/>
          <w:iCs/>
          <w:sz w:val="24"/>
          <w:lang w:val="en-GB" w:eastAsia="en-GB"/>
        </w:rPr>
        <w:t>Supreme Court Act 2018</w:t>
      </w:r>
      <w:r w:rsidRPr="00DA2B8B">
        <w:rPr>
          <w:rFonts w:ascii="Times New Roman" w:eastAsia="Times New Roman" w:hAnsi="Times New Roman"/>
          <w:bCs/>
          <w:sz w:val="24"/>
          <w:lang w:val="en-GB" w:eastAsia="en-GB"/>
        </w:rPr>
        <w:t xml:space="preserve"> and </w:t>
      </w:r>
      <w:r>
        <w:rPr>
          <w:rFonts w:ascii="Times New Roman" w:eastAsia="Times New Roman" w:hAnsi="Times New Roman"/>
          <w:bCs/>
          <w:sz w:val="24"/>
          <w:lang w:val="en-GB" w:eastAsia="en-GB"/>
        </w:rPr>
        <w:t xml:space="preserve">the </w:t>
      </w:r>
      <w:r w:rsidRPr="00C5627D">
        <w:rPr>
          <w:rFonts w:ascii="Times New Roman" w:eastAsia="Times New Roman" w:hAnsi="Times New Roman"/>
          <w:bCs/>
          <w:i/>
          <w:iCs/>
          <w:sz w:val="24"/>
          <w:lang w:val="en-GB" w:eastAsia="en-GB"/>
        </w:rPr>
        <w:t>Nauru Court of Appeal Act 2018</w:t>
      </w:r>
      <w:r>
        <w:rPr>
          <w:rFonts w:ascii="Times New Roman" w:eastAsia="Times New Roman" w:hAnsi="Times New Roman"/>
          <w:bCs/>
          <w:sz w:val="24"/>
          <w:lang w:val="en-GB" w:eastAsia="en-GB"/>
        </w:rPr>
        <w:t xml:space="preserve"> are separated. </w:t>
      </w:r>
      <w:r w:rsidR="00756BFB">
        <w:rPr>
          <w:rFonts w:ascii="Times New Roman" w:eastAsia="Times New Roman" w:hAnsi="Times New Roman"/>
          <w:bCs/>
          <w:sz w:val="24"/>
          <w:lang w:val="en-GB" w:eastAsia="en-GB"/>
        </w:rPr>
        <w:t xml:space="preserve">The Family Court is also a division of the District Court. </w:t>
      </w:r>
      <w:r>
        <w:rPr>
          <w:rFonts w:ascii="Times New Roman" w:eastAsia="Times New Roman" w:hAnsi="Times New Roman"/>
          <w:bCs/>
          <w:sz w:val="24"/>
          <w:lang w:val="en-GB" w:eastAsia="en-GB"/>
        </w:rPr>
        <w:t xml:space="preserve">The </w:t>
      </w:r>
      <w:r w:rsidR="00756BFB">
        <w:rPr>
          <w:rFonts w:ascii="Times New Roman" w:eastAsia="Times New Roman" w:hAnsi="Times New Roman"/>
          <w:bCs/>
          <w:sz w:val="24"/>
          <w:lang w:val="en-GB" w:eastAsia="en-GB"/>
        </w:rPr>
        <w:t xml:space="preserve">four </w:t>
      </w:r>
      <w:r>
        <w:rPr>
          <w:rFonts w:ascii="Times New Roman" w:eastAsia="Times New Roman" w:hAnsi="Times New Roman"/>
          <w:bCs/>
          <w:sz w:val="24"/>
          <w:lang w:val="en-GB" w:eastAsia="en-GB"/>
        </w:rPr>
        <w:t xml:space="preserve">Deputy Registrars </w:t>
      </w:r>
      <w:r w:rsidRPr="00DA2B8B">
        <w:rPr>
          <w:rFonts w:ascii="Times New Roman" w:eastAsia="Times New Roman" w:hAnsi="Times New Roman"/>
          <w:bCs/>
          <w:sz w:val="24"/>
          <w:lang w:val="en-GB" w:eastAsia="en-GB"/>
        </w:rPr>
        <w:t>keep separate records of the respective courts. These divisions and specific statutory provisions clearly establish the vertical and horizontal independence of the Judiciary</w:t>
      </w:r>
      <w:r w:rsidR="00756BFB">
        <w:rPr>
          <w:rFonts w:ascii="Times New Roman" w:eastAsia="Times New Roman" w:hAnsi="Times New Roman"/>
          <w:bCs/>
          <w:sz w:val="24"/>
          <w:lang w:val="en-GB" w:eastAsia="en-GB"/>
        </w:rPr>
        <w:t>, as follows</w:t>
      </w:r>
      <w:r w:rsidRPr="00DA2B8B">
        <w:rPr>
          <w:rFonts w:ascii="Times New Roman" w:eastAsia="Times New Roman" w:hAnsi="Times New Roman"/>
          <w:bCs/>
          <w:sz w:val="24"/>
          <w:lang w:val="en-GB" w:eastAsia="en-GB"/>
        </w:rPr>
        <w:t xml:space="preserve">: </w:t>
      </w:r>
    </w:p>
    <w:p w14:paraId="29529ABA" w14:textId="77777777" w:rsidR="00A01E4A" w:rsidRDefault="00A01E4A" w:rsidP="00A01E4A">
      <w:pPr>
        <w:pStyle w:val="ListParagraph"/>
        <w:numPr>
          <w:ilvl w:val="1"/>
          <w:numId w:val="1"/>
        </w:numPr>
        <w:spacing w:before="120" w:after="120" w:line="240" w:lineRule="atLeast"/>
        <w:ind w:left="2160" w:hanging="720"/>
        <w:jc w:val="both"/>
        <w:rPr>
          <w:rFonts w:ascii="Times New Roman" w:eastAsia="Times New Roman" w:hAnsi="Times New Roman"/>
          <w:bCs/>
          <w:sz w:val="24"/>
          <w:lang w:val="en-GB" w:eastAsia="en-GB"/>
        </w:rPr>
      </w:pPr>
      <w:r w:rsidRPr="00C5627D">
        <w:rPr>
          <w:rFonts w:ascii="Times New Roman" w:eastAsia="Times New Roman" w:hAnsi="Times New Roman"/>
          <w:bCs/>
          <w:i/>
          <w:iCs/>
          <w:sz w:val="24"/>
          <w:lang w:val="en-GB" w:eastAsia="en-GB"/>
        </w:rPr>
        <w:t>horizontal</w:t>
      </w:r>
      <w:r w:rsidRPr="00CF4B73">
        <w:rPr>
          <w:rFonts w:ascii="Times New Roman" w:eastAsia="Times New Roman" w:hAnsi="Times New Roman"/>
          <w:bCs/>
          <w:sz w:val="24"/>
          <w:lang w:val="en-GB" w:eastAsia="en-GB"/>
        </w:rPr>
        <w:t>, in that each individual judicial officer exercises his</w:t>
      </w:r>
      <w:r>
        <w:rPr>
          <w:rFonts w:ascii="Times New Roman" w:eastAsia="Times New Roman" w:hAnsi="Times New Roman"/>
          <w:bCs/>
          <w:sz w:val="24"/>
          <w:lang w:val="en-GB" w:eastAsia="en-GB"/>
        </w:rPr>
        <w:t xml:space="preserve"> or </w:t>
      </w:r>
      <w:r w:rsidRPr="00CF4B73">
        <w:rPr>
          <w:rFonts w:ascii="Times New Roman" w:eastAsia="Times New Roman" w:hAnsi="Times New Roman"/>
          <w:bCs/>
          <w:sz w:val="24"/>
          <w:lang w:val="en-GB" w:eastAsia="en-GB"/>
        </w:rPr>
        <w:t xml:space="preserve">her judicial functions independent of any other person or body; and </w:t>
      </w:r>
    </w:p>
    <w:p w14:paraId="6106A2B7" w14:textId="77777777" w:rsidR="00A01E4A" w:rsidRPr="00CF4B73" w:rsidRDefault="00A01E4A" w:rsidP="00A01E4A">
      <w:pPr>
        <w:pStyle w:val="ListParagraph"/>
        <w:spacing w:before="120" w:after="120" w:line="240" w:lineRule="atLeast"/>
        <w:ind w:left="2160"/>
        <w:jc w:val="both"/>
        <w:rPr>
          <w:rFonts w:ascii="Times New Roman" w:eastAsia="Times New Roman" w:hAnsi="Times New Roman"/>
          <w:bCs/>
          <w:sz w:val="24"/>
          <w:lang w:val="en-GB" w:eastAsia="en-GB"/>
        </w:rPr>
      </w:pPr>
    </w:p>
    <w:p w14:paraId="569D3BD1" w14:textId="77777777" w:rsidR="00A01E4A" w:rsidRDefault="00A01E4A" w:rsidP="00A01E4A">
      <w:pPr>
        <w:pStyle w:val="ListParagraph"/>
        <w:numPr>
          <w:ilvl w:val="1"/>
          <w:numId w:val="1"/>
        </w:numPr>
        <w:spacing w:before="120" w:after="0" w:line="240" w:lineRule="atLeast"/>
        <w:ind w:left="2160" w:hanging="720"/>
        <w:jc w:val="both"/>
        <w:rPr>
          <w:rFonts w:ascii="Times New Roman" w:eastAsia="Times New Roman" w:hAnsi="Times New Roman"/>
          <w:bCs/>
          <w:sz w:val="24"/>
          <w:lang w:val="en-GB" w:eastAsia="en-GB"/>
        </w:rPr>
      </w:pPr>
      <w:r w:rsidRPr="00C5627D">
        <w:rPr>
          <w:rFonts w:ascii="Times New Roman" w:eastAsia="Times New Roman" w:hAnsi="Times New Roman"/>
          <w:bCs/>
          <w:i/>
          <w:iCs/>
          <w:sz w:val="24"/>
          <w:lang w:val="en-GB" w:eastAsia="en-GB"/>
        </w:rPr>
        <w:t>vertical</w:t>
      </w:r>
      <w:r w:rsidRPr="00CF4B73">
        <w:rPr>
          <w:rFonts w:ascii="Times New Roman" w:eastAsia="Times New Roman" w:hAnsi="Times New Roman"/>
          <w:bCs/>
          <w:sz w:val="24"/>
          <w:lang w:val="en-GB" w:eastAsia="en-GB"/>
        </w:rPr>
        <w:t xml:space="preserve">, in that there is an appellate process from the District Court to the Supreme Court and from the Supreme Court to the Nauru Court of Appeal. </w:t>
      </w:r>
    </w:p>
    <w:p w14:paraId="690CABFF" w14:textId="77777777" w:rsidR="00A01E4A" w:rsidRPr="00CF4B73" w:rsidRDefault="00A01E4A" w:rsidP="00A01E4A">
      <w:pPr>
        <w:spacing w:before="120" w:after="0" w:line="240" w:lineRule="atLeast"/>
        <w:jc w:val="both"/>
        <w:rPr>
          <w:rFonts w:ascii="Times New Roman" w:eastAsia="Times New Roman" w:hAnsi="Times New Roman"/>
          <w:bCs/>
          <w:sz w:val="24"/>
          <w:lang w:val="en-GB" w:eastAsia="en-GB"/>
        </w:rPr>
      </w:pPr>
    </w:p>
    <w:p w14:paraId="262F4522" w14:textId="21114AE1" w:rsidR="00A01E4A" w:rsidRPr="005166D4" w:rsidRDefault="00A01E4A" w:rsidP="00A01E4A">
      <w:pPr>
        <w:pStyle w:val="ListParagraph"/>
        <w:numPr>
          <w:ilvl w:val="1"/>
          <w:numId w:val="4"/>
        </w:numPr>
        <w:tabs>
          <w:tab w:val="left" w:pos="810"/>
        </w:tabs>
        <w:spacing w:after="0"/>
        <w:ind w:hanging="690"/>
        <w:jc w:val="both"/>
        <w:rPr>
          <w:rFonts w:ascii="Times New Roman" w:hAnsi="Times New Roman" w:cs="Times New Roman"/>
          <w:i/>
          <w:sz w:val="24"/>
          <w:szCs w:val="24"/>
        </w:rPr>
      </w:pPr>
      <w:r w:rsidRPr="005166D4">
        <w:rPr>
          <w:rFonts w:ascii="Times New Roman" w:hAnsi="Times New Roman" w:cs="Times New Roman"/>
          <w:iCs/>
          <w:sz w:val="24"/>
          <w:szCs w:val="24"/>
        </w:rPr>
        <w:t xml:space="preserve">The Chief Justice and the Judges of the Supreme Court are currently appointed for life, retiring at the age of 70 years. The Justices of Appeal retire at the age of 75. </w:t>
      </w:r>
      <w:r w:rsidR="00756BFB">
        <w:rPr>
          <w:rFonts w:ascii="Times New Roman" w:hAnsi="Times New Roman" w:cs="Times New Roman"/>
          <w:iCs/>
          <w:sz w:val="24"/>
          <w:szCs w:val="24"/>
        </w:rPr>
        <w:t xml:space="preserve">The Resident Magistrate also retires at the age of 70 years. </w:t>
      </w:r>
      <w:r w:rsidRPr="005166D4">
        <w:rPr>
          <w:rFonts w:ascii="Times New Roman" w:hAnsi="Times New Roman" w:cs="Times New Roman"/>
          <w:iCs/>
          <w:sz w:val="24"/>
          <w:szCs w:val="24"/>
        </w:rPr>
        <w:t xml:space="preserve">The Judges remuneration and allowances are now prescribed by the </w:t>
      </w:r>
      <w:r w:rsidRPr="005166D4">
        <w:rPr>
          <w:rFonts w:ascii="Times New Roman" w:hAnsi="Times New Roman" w:cs="Times New Roman"/>
          <w:i/>
          <w:sz w:val="24"/>
          <w:szCs w:val="24"/>
        </w:rPr>
        <w:t>Judicial Officers Conditions of Service, Salaries and Allowances Regulations 2020</w:t>
      </w:r>
      <w:r w:rsidRPr="005166D4">
        <w:rPr>
          <w:rFonts w:ascii="Times New Roman" w:hAnsi="Times New Roman" w:cs="Times New Roman"/>
          <w:iCs/>
          <w:sz w:val="24"/>
          <w:szCs w:val="24"/>
        </w:rPr>
        <w:t xml:space="preserve">. These Regulations are made under the </w:t>
      </w:r>
      <w:r w:rsidRPr="005166D4">
        <w:rPr>
          <w:rFonts w:ascii="Times New Roman" w:hAnsi="Times New Roman" w:cs="Times New Roman"/>
          <w:i/>
          <w:sz w:val="24"/>
          <w:szCs w:val="24"/>
        </w:rPr>
        <w:t>Statutory Salaries Act 1974</w:t>
      </w:r>
      <w:r w:rsidRPr="005166D4">
        <w:rPr>
          <w:rFonts w:ascii="Times New Roman" w:hAnsi="Times New Roman" w:cs="Times New Roman"/>
          <w:iCs/>
          <w:sz w:val="24"/>
          <w:szCs w:val="24"/>
        </w:rPr>
        <w:t xml:space="preserve">. It emphasises and reinforces </w:t>
      </w:r>
      <w:r w:rsidRPr="005166D4">
        <w:rPr>
          <w:rFonts w:ascii="Times New Roman" w:hAnsi="Times New Roman" w:cs="Times New Roman"/>
          <w:i/>
          <w:sz w:val="24"/>
          <w:szCs w:val="24"/>
        </w:rPr>
        <w:t>Article 65</w:t>
      </w:r>
      <w:r w:rsidRPr="005166D4">
        <w:rPr>
          <w:rFonts w:ascii="Times New Roman" w:hAnsi="Times New Roman" w:cs="Times New Roman"/>
          <w:iCs/>
          <w:sz w:val="24"/>
          <w:szCs w:val="24"/>
        </w:rPr>
        <w:t xml:space="preserve"> of the </w:t>
      </w:r>
      <w:r w:rsidRPr="005166D4">
        <w:rPr>
          <w:rFonts w:ascii="Times New Roman" w:hAnsi="Times New Roman" w:cs="Times New Roman"/>
          <w:i/>
          <w:sz w:val="24"/>
          <w:szCs w:val="24"/>
        </w:rPr>
        <w:t>Constitution</w:t>
      </w:r>
      <w:r>
        <w:rPr>
          <w:rStyle w:val="EndnoteReference"/>
          <w:rFonts w:ascii="Times New Roman" w:hAnsi="Times New Roman" w:cs="Times New Roman"/>
          <w:i/>
          <w:sz w:val="24"/>
          <w:szCs w:val="24"/>
        </w:rPr>
        <w:endnoteReference w:id="1"/>
      </w:r>
      <w:r w:rsidRPr="005166D4">
        <w:rPr>
          <w:rFonts w:ascii="Times New Roman" w:hAnsi="Times New Roman" w:cs="Times New Roman"/>
          <w:iCs/>
          <w:sz w:val="24"/>
          <w:szCs w:val="24"/>
        </w:rPr>
        <w:t xml:space="preserve">. </w:t>
      </w:r>
    </w:p>
    <w:p w14:paraId="7E7BE79D" w14:textId="77777777" w:rsidR="00A01E4A" w:rsidRPr="00562C65" w:rsidRDefault="00A01E4A" w:rsidP="00A01E4A">
      <w:pPr>
        <w:pStyle w:val="ListParagraph"/>
        <w:rPr>
          <w:rFonts w:ascii="Times New Roman" w:hAnsi="Times New Roman" w:cs="Times New Roman"/>
          <w:sz w:val="24"/>
          <w:szCs w:val="24"/>
        </w:rPr>
      </w:pPr>
    </w:p>
    <w:p w14:paraId="630D10F7" w14:textId="77777777" w:rsidR="00756BFB" w:rsidRPr="00756BFB" w:rsidRDefault="00A01E4A" w:rsidP="00A01E4A">
      <w:pPr>
        <w:pStyle w:val="ListParagraph"/>
        <w:numPr>
          <w:ilvl w:val="1"/>
          <w:numId w:val="4"/>
        </w:numPr>
        <w:tabs>
          <w:tab w:val="left" w:pos="810"/>
        </w:tabs>
        <w:ind w:left="720" w:hanging="720"/>
        <w:jc w:val="both"/>
        <w:rPr>
          <w:rFonts w:ascii="Times New Roman" w:hAnsi="Times New Roman" w:cs="Times New Roman"/>
          <w:i/>
          <w:sz w:val="24"/>
          <w:szCs w:val="24"/>
        </w:rPr>
      </w:pPr>
      <w:r>
        <w:rPr>
          <w:rFonts w:ascii="Times New Roman" w:hAnsi="Times New Roman" w:cs="Times New Roman"/>
          <w:sz w:val="24"/>
          <w:szCs w:val="24"/>
        </w:rPr>
        <w:t xml:space="preserve">The Chief Justice is appointed by the President pursuant to </w:t>
      </w:r>
      <w:r w:rsidRPr="00457C94">
        <w:rPr>
          <w:rFonts w:ascii="Times New Roman" w:hAnsi="Times New Roman" w:cs="Times New Roman"/>
          <w:i/>
          <w:sz w:val="24"/>
          <w:szCs w:val="24"/>
        </w:rPr>
        <w:t>Article 49(</w:t>
      </w:r>
      <w:r>
        <w:rPr>
          <w:rFonts w:ascii="Times New Roman" w:hAnsi="Times New Roman" w:cs="Times New Roman"/>
          <w:i/>
          <w:sz w:val="24"/>
          <w:szCs w:val="24"/>
        </w:rPr>
        <w:t>1</w:t>
      </w:r>
      <w:r w:rsidRPr="00457C94">
        <w:rPr>
          <w:rFonts w:ascii="Times New Roman" w:hAnsi="Times New Roman" w:cs="Times New Roman"/>
          <w:i/>
          <w:sz w:val="24"/>
          <w:szCs w:val="24"/>
        </w:rPr>
        <w:t>)</w:t>
      </w:r>
      <w:r>
        <w:rPr>
          <w:rFonts w:ascii="Times New Roman" w:hAnsi="Times New Roman" w:cs="Times New Roman"/>
          <w:sz w:val="24"/>
          <w:szCs w:val="24"/>
        </w:rPr>
        <w:t xml:space="preserve"> of the </w:t>
      </w:r>
      <w:r w:rsidRPr="00457C94">
        <w:rPr>
          <w:rFonts w:ascii="Times New Roman" w:hAnsi="Times New Roman" w:cs="Times New Roman"/>
          <w:i/>
          <w:sz w:val="24"/>
          <w:szCs w:val="24"/>
        </w:rPr>
        <w:t>Constitution</w:t>
      </w:r>
      <w:r>
        <w:rPr>
          <w:rFonts w:ascii="Times New Roman" w:hAnsi="Times New Roman" w:cs="Times New Roman"/>
          <w:i/>
          <w:sz w:val="24"/>
          <w:szCs w:val="24"/>
        </w:rPr>
        <w:t xml:space="preserve">. </w:t>
      </w:r>
      <w:r w:rsidRPr="00640C3D">
        <w:rPr>
          <w:rFonts w:ascii="Times New Roman" w:hAnsi="Times New Roman" w:cs="Times New Roman"/>
          <w:iCs/>
          <w:sz w:val="24"/>
          <w:szCs w:val="24"/>
        </w:rPr>
        <w:t xml:space="preserve">The Judges of the Supreme Court are also appointed under </w:t>
      </w:r>
      <w:r w:rsidRPr="00640C3D">
        <w:rPr>
          <w:rFonts w:ascii="Times New Roman" w:hAnsi="Times New Roman" w:cs="Times New Roman"/>
          <w:i/>
          <w:sz w:val="24"/>
          <w:szCs w:val="24"/>
        </w:rPr>
        <w:t>Article 49(2)</w:t>
      </w:r>
      <w:r>
        <w:rPr>
          <w:rStyle w:val="EndnoteReference"/>
          <w:rFonts w:ascii="Times New Roman" w:hAnsi="Times New Roman" w:cs="Times New Roman"/>
          <w:i/>
          <w:sz w:val="24"/>
          <w:szCs w:val="24"/>
        </w:rPr>
        <w:endnoteReference w:id="2"/>
      </w:r>
      <w:r w:rsidRPr="00640C3D">
        <w:rPr>
          <w:rFonts w:ascii="Times New Roman" w:hAnsi="Times New Roman" w:cs="Times New Roman"/>
          <w:sz w:val="24"/>
          <w:szCs w:val="24"/>
        </w:rPr>
        <w:t xml:space="preserve">. </w:t>
      </w:r>
      <w:r w:rsidRPr="00DA2B8B">
        <w:rPr>
          <w:rFonts w:ascii="Times New Roman" w:hAnsi="Times New Roman" w:cs="Times New Roman"/>
          <w:sz w:val="24"/>
          <w:szCs w:val="24"/>
        </w:rPr>
        <w:t xml:space="preserve">The tenure of Judges is provided under Section 10(1) of the </w:t>
      </w:r>
      <w:r w:rsidRPr="00DA2B8B">
        <w:rPr>
          <w:rFonts w:ascii="Times New Roman" w:hAnsi="Times New Roman" w:cs="Times New Roman"/>
          <w:i/>
          <w:iCs/>
          <w:sz w:val="24"/>
          <w:szCs w:val="24"/>
        </w:rPr>
        <w:t>Supreme Court Act 2018</w:t>
      </w:r>
      <w:r w:rsidRPr="00DA2B8B">
        <w:rPr>
          <w:rFonts w:ascii="Times New Roman" w:hAnsi="Times New Roman" w:cs="Times New Roman"/>
          <w:sz w:val="24"/>
          <w:szCs w:val="24"/>
        </w:rPr>
        <w:t xml:space="preserve">, which is </w:t>
      </w:r>
      <w:r w:rsidR="00756BFB">
        <w:rPr>
          <w:rFonts w:ascii="Times New Roman" w:hAnsi="Times New Roman" w:cs="Times New Roman"/>
          <w:sz w:val="24"/>
          <w:szCs w:val="24"/>
        </w:rPr>
        <w:t xml:space="preserve">on </w:t>
      </w:r>
      <w:r w:rsidRPr="00DA2B8B">
        <w:rPr>
          <w:rFonts w:ascii="Times New Roman" w:hAnsi="Times New Roman" w:cs="Times New Roman"/>
          <w:sz w:val="24"/>
          <w:szCs w:val="24"/>
        </w:rPr>
        <w:t xml:space="preserve">retirement, completion of fixed term contract or resignation. </w:t>
      </w:r>
    </w:p>
    <w:p w14:paraId="0750BFB5" w14:textId="77777777" w:rsidR="00756BFB" w:rsidRPr="00756BFB" w:rsidRDefault="00756BFB" w:rsidP="00756BFB">
      <w:pPr>
        <w:pStyle w:val="ListParagraph"/>
        <w:rPr>
          <w:rFonts w:ascii="Times New Roman" w:hAnsi="Times New Roman" w:cs="Times New Roman"/>
          <w:sz w:val="24"/>
          <w:szCs w:val="24"/>
        </w:rPr>
      </w:pPr>
    </w:p>
    <w:p w14:paraId="72717010" w14:textId="7E42C85A" w:rsidR="00A01E4A" w:rsidRPr="00C54AD5" w:rsidRDefault="00A01E4A" w:rsidP="00A01E4A">
      <w:pPr>
        <w:pStyle w:val="ListParagraph"/>
        <w:numPr>
          <w:ilvl w:val="1"/>
          <w:numId w:val="4"/>
        </w:numPr>
        <w:tabs>
          <w:tab w:val="left" w:pos="810"/>
        </w:tabs>
        <w:ind w:left="720" w:hanging="720"/>
        <w:jc w:val="both"/>
        <w:rPr>
          <w:rFonts w:ascii="Times New Roman" w:hAnsi="Times New Roman" w:cs="Times New Roman"/>
          <w:i/>
          <w:sz w:val="24"/>
          <w:szCs w:val="24"/>
        </w:rPr>
      </w:pPr>
      <w:r w:rsidRPr="00DA2B8B">
        <w:rPr>
          <w:rFonts w:ascii="Times New Roman" w:hAnsi="Times New Roman" w:cs="Times New Roman"/>
          <w:sz w:val="24"/>
          <w:szCs w:val="24"/>
        </w:rPr>
        <w:t xml:space="preserve">On the other hand, a Judge can only be removed from office pursuant to </w:t>
      </w:r>
      <w:r w:rsidRPr="00DA2B8B">
        <w:rPr>
          <w:rFonts w:ascii="Times New Roman" w:hAnsi="Times New Roman" w:cs="Times New Roman"/>
          <w:i/>
          <w:iCs/>
          <w:sz w:val="24"/>
          <w:szCs w:val="24"/>
        </w:rPr>
        <w:t>Article 51</w:t>
      </w:r>
      <w:r w:rsidRPr="00DA2B8B">
        <w:rPr>
          <w:rFonts w:ascii="Times New Roman" w:hAnsi="Times New Roman" w:cs="Times New Roman"/>
          <w:sz w:val="24"/>
          <w:szCs w:val="24"/>
        </w:rPr>
        <w:t xml:space="preserve"> of the </w:t>
      </w:r>
      <w:r w:rsidRPr="00CD08BA">
        <w:rPr>
          <w:rFonts w:ascii="Times New Roman" w:hAnsi="Times New Roman" w:cs="Times New Roman"/>
          <w:i/>
          <w:sz w:val="24"/>
          <w:szCs w:val="24"/>
        </w:rPr>
        <w:t>Constitution</w:t>
      </w:r>
      <w:r w:rsidRPr="00DA2B8B">
        <w:rPr>
          <w:rFonts w:ascii="Times New Roman" w:hAnsi="Times New Roman" w:cs="Times New Roman"/>
          <w:sz w:val="24"/>
          <w:szCs w:val="24"/>
        </w:rPr>
        <w:t xml:space="preserve">. The tenure of judges is adequately protected under the </w:t>
      </w:r>
      <w:r w:rsidRPr="00CD08BA">
        <w:rPr>
          <w:rFonts w:ascii="Times New Roman" w:hAnsi="Times New Roman" w:cs="Times New Roman"/>
          <w:i/>
          <w:sz w:val="24"/>
          <w:szCs w:val="24"/>
        </w:rPr>
        <w:t>Constitution</w:t>
      </w:r>
      <w:r w:rsidRPr="00DA2B8B">
        <w:rPr>
          <w:rFonts w:ascii="Times New Roman" w:hAnsi="Times New Roman" w:cs="Times New Roman"/>
          <w:sz w:val="24"/>
          <w:szCs w:val="24"/>
        </w:rPr>
        <w:t xml:space="preserve">. </w:t>
      </w:r>
      <w:r>
        <w:rPr>
          <w:rFonts w:ascii="Times New Roman" w:hAnsi="Times New Roman" w:cs="Times New Roman"/>
          <w:sz w:val="24"/>
          <w:szCs w:val="24"/>
        </w:rPr>
        <w:t>The only ground</w:t>
      </w:r>
      <w:r w:rsidRPr="00DA2B8B">
        <w:rPr>
          <w:rFonts w:ascii="Times New Roman" w:hAnsi="Times New Roman" w:cs="Times New Roman"/>
          <w:sz w:val="24"/>
          <w:szCs w:val="24"/>
        </w:rPr>
        <w:t xml:space="preserve"> for removal of a Judge is on incapacity and misconduct. The additional protection for the tenure is that a Judge can only be removed from his or her office if it is approved by two thirds majority of the current Parliament, that is, 12 of the 18 members must vote to remove a </w:t>
      </w:r>
      <w:r>
        <w:rPr>
          <w:rFonts w:ascii="Times New Roman" w:hAnsi="Times New Roman" w:cs="Times New Roman"/>
          <w:sz w:val="24"/>
          <w:szCs w:val="24"/>
        </w:rPr>
        <w:t>J</w:t>
      </w:r>
      <w:r w:rsidRPr="00DA2B8B">
        <w:rPr>
          <w:rFonts w:ascii="Times New Roman" w:hAnsi="Times New Roman" w:cs="Times New Roman"/>
          <w:sz w:val="24"/>
          <w:szCs w:val="24"/>
        </w:rPr>
        <w:t>udge on the 2 grounds only. The Speaker is the 19</w:t>
      </w:r>
      <w:r w:rsidRPr="00DA2B8B">
        <w:rPr>
          <w:rFonts w:ascii="Times New Roman" w:hAnsi="Times New Roman" w:cs="Times New Roman"/>
          <w:sz w:val="24"/>
          <w:szCs w:val="24"/>
          <w:vertAlign w:val="superscript"/>
        </w:rPr>
        <w:t>th</w:t>
      </w:r>
      <w:r w:rsidRPr="00DA2B8B">
        <w:rPr>
          <w:rFonts w:ascii="Times New Roman" w:hAnsi="Times New Roman" w:cs="Times New Roman"/>
          <w:sz w:val="24"/>
          <w:szCs w:val="24"/>
        </w:rPr>
        <w:t xml:space="preserve"> member. This constitutional provision no doubt provides absolute protection for </w:t>
      </w:r>
      <w:r>
        <w:rPr>
          <w:rFonts w:ascii="Times New Roman" w:hAnsi="Times New Roman" w:cs="Times New Roman"/>
          <w:sz w:val="24"/>
          <w:szCs w:val="24"/>
        </w:rPr>
        <w:t>J</w:t>
      </w:r>
      <w:r w:rsidRPr="00DA2B8B">
        <w:rPr>
          <w:rFonts w:ascii="Times New Roman" w:hAnsi="Times New Roman" w:cs="Times New Roman"/>
          <w:sz w:val="24"/>
          <w:szCs w:val="24"/>
        </w:rPr>
        <w:t xml:space="preserve">udges’ tenure. </w:t>
      </w:r>
    </w:p>
    <w:p w14:paraId="04E503BC" w14:textId="77777777" w:rsidR="00A01E4A" w:rsidRPr="00DA2B8B" w:rsidRDefault="00A01E4A" w:rsidP="00A01E4A">
      <w:pPr>
        <w:pStyle w:val="ListParagraph"/>
        <w:tabs>
          <w:tab w:val="left" w:pos="810"/>
        </w:tabs>
        <w:jc w:val="both"/>
        <w:rPr>
          <w:rFonts w:ascii="Times New Roman" w:hAnsi="Times New Roman" w:cs="Times New Roman"/>
          <w:i/>
          <w:sz w:val="24"/>
          <w:szCs w:val="24"/>
        </w:rPr>
      </w:pPr>
    </w:p>
    <w:p w14:paraId="34D5BC90" w14:textId="4D7AEEF3" w:rsidR="00A01E4A" w:rsidRPr="00756BFB" w:rsidRDefault="00A01E4A" w:rsidP="00A01E4A">
      <w:pPr>
        <w:pStyle w:val="ListParagraph"/>
        <w:numPr>
          <w:ilvl w:val="1"/>
          <w:numId w:val="4"/>
        </w:numPr>
        <w:tabs>
          <w:tab w:val="left" w:pos="810"/>
        </w:tabs>
        <w:spacing w:after="0"/>
        <w:ind w:left="720" w:hanging="720"/>
        <w:jc w:val="both"/>
        <w:rPr>
          <w:rFonts w:ascii="Times New Roman" w:hAnsi="Times New Roman" w:cs="Times New Roman"/>
          <w:i/>
          <w:sz w:val="24"/>
          <w:szCs w:val="24"/>
        </w:rPr>
      </w:pPr>
      <w:r w:rsidRPr="00756BFB">
        <w:rPr>
          <w:rFonts w:ascii="Times New Roman" w:hAnsi="Times New Roman" w:cs="Times New Roman"/>
          <w:sz w:val="24"/>
          <w:szCs w:val="24"/>
        </w:rPr>
        <w:t xml:space="preserve">Resident Magistrates are appointed by the President in consultation with the Chief Justice as prescribed in </w:t>
      </w:r>
      <w:r w:rsidRPr="00756BFB">
        <w:rPr>
          <w:rFonts w:ascii="Times New Roman" w:hAnsi="Times New Roman" w:cs="Times New Roman"/>
          <w:i/>
          <w:sz w:val="24"/>
          <w:szCs w:val="24"/>
        </w:rPr>
        <w:t>Section 4(3)</w:t>
      </w:r>
      <w:r w:rsidRPr="00756BFB">
        <w:rPr>
          <w:rFonts w:ascii="Times New Roman" w:hAnsi="Times New Roman" w:cs="Times New Roman"/>
          <w:sz w:val="24"/>
          <w:szCs w:val="24"/>
        </w:rPr>
        <w:t xml:space="preserve"> of the </w:t>
      </w:r>
      <w:r w:rsidRPr="00756BFB">
        <w:rPr>
          <w:rFonts w:ascii="Times New Roman" w:hAnsi="Times New Roman" w:cs="Times New Roman"/>
          <w:i/>
          <w:sz w:val="24"/>
          <w:szCs w:val="24"/>
        </w:rPr>
        <w:t>District Court Act 2018</w:t>
      </w:r>
      <w:r w:rsidRPr="00756BFB">
        <w:rPr>
          <w:rFonts w:ascii="Times New Roman" w:hAnsi="Times New Roman" w:cs="Times New Roman"/>
          <w:sz w:val="24"/>
          <w:szCs w:val="24"/>
        </w:rPr>
        <w:t xml:space="preserve">. District Court itself is a creature of the </w:t>
      </w:r>
      <w:r w:rsidRPr="00756BFB">
        <w:rPr>
          <w:rFonts w:ascii="Times New Roman" w:hAnsi="Times New Roman" w:cs="Times New Roman"/>
          <w:i/>
          <w:iCs/>
          <w:sz w:val="24"/>
          <w:szCs w:val="24"/>
        </w:rPr>
        <w:t>Constitution</w:t>
      </w:r>
      <w:r w:rsidRPr="00756BFB">
        <w:rPr>
          <w:rFonts w:ascii="Times New Roman" w:hAnsi="Times New Roman" w:cs="Times New Roman"/>
          <w:sz w:val="24"/>
          <w:szCs w:val="24"/>
        </w:rPr>
        <w:t xml:space="preserve">; </w:t>
      </w:r>
      <w:r w:rsidRPr="00756BFB">
        <w:rPr>
          <w:rFonts w:ascii="Times New Roman" w:hAnsi="Times New Roman" w:cs="Times New Roman"/>
          <w:i/>
          <w:iCs/>
          <w:sz w:val="24"/>
          <w:szCs w:val="24"/>
        </w:rPr>
        <w:t>Article 56</w:t>
      </w:r>
      <w:r w:rsidRPr="00756BFB">
        <w:rPr>
          <w:rFonts w:ascii="Times New Roman" w:hAnsi="Times New Roman" w:cs="Times New Roman"/>
          <w:sz w:val="24"/>
          <w:szCs w:val="24"/>
        </w:rPr>
        <w:t xml:space="preserve">. </w:t>
      </w:r>
      <w:r w:rsidR="00756BFB" w:rsidRPr="00756BFB">
        <w:rPr>
          <w:rFonts w:ascii="Times New Roman" w:hAnsi="Times New Roman" w:cs="Times New Roman"/>
          <w:sz w:val="24"/>
          <w:szCs w:val="24"/>
        </w:rPr>
        <w:t>Resident Magistrates can be appointed until retirement or on a fixed term contract. Furthermore, there are also magistrates appointed for a specific case or matter in certain circumstances of conflict. Any allegation against a magistrate is now subject to an inquiry or hearing by a Judicial Complaints Tribunal</w:t>
      </w:r>
      <w:r w:rsidR="00FF519E">
        <w:rPr>
          <w:rStyle w:val="EndnoteReference"/>
          <w:rFonts w:ascii="Times New Roman" w:hAnsi="Times New Roman" w:cs="Times New Roman"/>
          <w:sz w:val="24"/>
          <w:szCs w:val="24"/>
        </w:rPr>
        <w:endnoteReference w:id="3"/>
      </w:r>
      <w:r w:rsidR="00756BFB" w:rsidRPr="00756BFB">
        <w:rPr>
          <w:rFonts w:ascii="Times New Roman" w:hAnsi="Times New Roman" w:cs="Times New Roman"/>
          <w:sz w:val="24"/>
          <w:szCs w:val="24"/>
        </w:rPr>
        <w:t xml:space="preserve"> established under the </w:t>
      </w:r>
      <w:r w:rsidR="00756BFB" w:rsidRPr="00756BFB">
        <w:rPr>
          <w:rFonts w:ascii="Times New Roman" w:hAnsi="Times New Roman" w:cs="Times New Roman"/>
          <w:i/>
          <w:iCs/>
          <w:sz w:val="24"/>
          <w:szCs w:val="24"/>
        </w:rPr>
        <w:t xml:space="preserve">District Court Act 2018 </w:t>
      </w:r>
      <w:r w:rsidR="00756BFB" w:rsidRPr="00756BFB">
        <w:rPr>
          <w:rFonts w:ascii="Times New Roman" w:hAnsi="Times New Roman" w:cs="Times New Roman"/>
          <w:sz w:val="24"/>
          <w:szCs w:val="24"/>
        </w:rPr>
        <w:t xml:space="preserve">as amended in 2020. The Judicial Complaints Tribunal in appointed by the Chief Justice and not the Executive Branch. </w:t>
      </w:r>
    </w:p>
    <w:p w14:paraId="541751DD" w14:textId="77777777" w:rsidR="00756BFB" w:rsidRPr="00756BFB" w:rsidRDefault="00756BFB" w:rsidP="00756BFB">
      <w:pPr>
        <w:pStyle w:val="ListParagraph"/>
        <w:rPr>
          <w:rFonts w:ascii="Times New Roman" w:hAnsi="Times New Roman" w:cs="Times New Roman"/>
          <w:i/>
          <w:sz w:val="24"/>
          <w:szCs w:val="24"/>
        </w:rPr>
      </w:pPr>
    </w:p>
    <w:p w14:paraId="06AFC219" w14:textId="77777777" w:rsidR="00A01E4A" w:rsidRPr="00640C3D" w:rsidRDefault="00A01E4A" w:rsidP="00A01E4A">
      <w:pPr>
        <w:pStyle w:val="ListParagraph"/>
        <w:numPr>
          <w:ilvl w:val="1"/>
          <w:numId w:val="4"/>
        </w:numPr>
        <w:tabs>
          <w:tab w:val="left" w:pos="810"/>
        </w:tabs>
        <w:spacing w:after="0"/>
        <w:ind w:left="720" w:hanging="720"/>
        <w:jc w:val="both"/>
        <w:rPr>
          <w:rFonts w:ascii="Times New Roman" w:hAnsi="Times New Roman" w:cs="Times New Roman"/>
          <w:i/>
          <w:sz w:val="24"/>
          <w:szCs w:val="24"/>
        </w:rPr>
      </w:pPr>
      <w:r w:rsidRPr="00DA2B8B">
        <w:rPr>
          <w:rFonts w:ascii="Times New Roman" w:hAnsi="Times New Roman" w:cs="Times New Roman"/>
          <w:iCs/>
          <w:sz w:val="24"/>
          <w:szCs w:val="24"/>
        </w:rPr>
        <w:t xml:space="preserve">The Nauru Court of Appeal is a creature of the </w:t>
      </w:r>
      <w:r w:rsidRPr="008824E9">
        <w:rPr>
          <w:rFonts w:ascii="Times New Roman" w:hAnsi="Times New Roman" w:cs="Times New Roman"/>
          <w:i/>
          <w:iCs/>
          <w:sz w:val="24"/>
          <w:szCs w:val="24"/>
        </w:rPr>
        <w:t>Constitution</w:t>
      </w:r>
      <w:r w:rsidRPr="00DA2B8B">
        <w:rPr>
          <w:rFonts w:ascii="Times New Roman" w:hAnsi="Times New Roman" w:cs="Times New Roman"/>
          <w:iCs/>
          <w:sz w:val="24"/>
          <w:szCs w:val="24"/>
        </w:rPr>
        <w:t xml:space="preserve"> in 2018</w:t>
      </w:r>
      <w:r w:rsidRPr="00DA2B8B">
        <w:rPr>
          <w:rFonts w:ascii="Times New Roman" w:hAnsi="Times New Roman" w:cs="Times New Roman"/>
          <w:i/>
          <w:sz w:val="24"/>
          <w:szCs w:val="24"/>
        </w:rPr>
        <w:t>; Article 57</w:t>
      </w:r>
      <w:r w:rsidRPr="00DA2B8B">
        <w:rPr>
          <w:rFonts w:ascii="Times New Roman" w:hAnsi="Times New Roman" w:cs="Times New Roman"/>
          <w:iCs/>
          <w:sz w:val="24"/>
          <w:szCs w:val="24"/>
        </w:rPr>
        <w:t xml:space="preserve">. In </w:t>
      </w:r>
      <w:r>
        <w:rPr>
          <w:rFonts w:ascii="Times New Roman" w:hAnsi="Times New Roman" w:cs="Times New Roman"/>
          <w:iCs/>
          <w:sz w:val="24"/>
          <w:szCs w:val="24"/>
        </w:rPr>
        <w:t xml:space="preserve">the </w:t>
      </w:r>
      <w:r w:rsidRPr="00DA2B8B">
        <w:rPr>
          <w:rFonts w:ascii="Times New Roman" w:hAnsi="Times New Roman" w:cs="Times New Roman"/>
          <w:iCs/>
          <w:sz w:val="24"/>
          <w:szCs w:val="24"/>
        </w:rPr>
        <w:t xml:space="preserve">2016 review, appeals on limited matters were permissible by leave to the High Court of Australia. In May 2018, a new court of appeal was established in Nauru. Its powers are contained in </w:t>
      </w:r>
      <w:r w:rsidRPr="008824E9">
        <w:rPr>
          <w:rFonts w:ascii="Times New Roman" w:hAnsi="Times New Roman" w:cs="Times New Roman"/>
          <w:i/>
          <w:iCs/>
          <w:sz w:val="24"/>
          <w:szCs w:val="24"/>
        </w:rPr>
        <w:t>Article 57</w:t>
      </w:r>
      <w:r w:rsidRPr="00DA2B8B">
        <w:rPr>
          <w:rFonts w:ascii="Times New Roman" w:hAnsi="Times New Roman" w:cs="Times New Roman"/>
          <w:iCs/>
          <w:sz w:val="24"/>
          <w:szCs w:val="24"/>
        </w:rPr>
        <w:t xml:space="preserve"> of the </w:t>
      </w:r>
      <w:r w:rsidRPr="008824E9">
        <w:rPr>
          <w:rFonts w:ascii="Times New Roman" w:hAnsi="Times New Roman" w:cs="Times New Roman"/>
          <w:i/>
          <w:iCs/>
          <w:sz w:val="24"/>
          <w:szCs w:val="24"/>
        </w:rPr>
        <w:t>Constitution</w:t>
      </w:r>
      <w:r w:rsidRPr="00DA2B8B">
        <w:rPr>
          <w:rFonts w:ascii="Times New Roman" w:hAnsi="Times New Roman" w:cs="Times New Roman"/>
          <w:iCs/>
          <w:sz w:val="24"/>
          <w:szCs w:val="24"/>
        </w:rPr>
        <w:t xml:space="preserve"> and the </w:t>
      </w:r>
      <w:r w:rsidRPr="008824E9">
        <w:rPr>
          <w:rFonts w:ascii="Times New Roman" w:hAnsi="Times New Roman" w:cs="Times New Roman"/>
          <w:i/>
          <w:iCs/>
          <w:sz w:val="24"/>
          <w:szCs w:val="24"/>
        </w:rPr>
        <w:t>Nauru Court of Appeal Act 2018</w:t>
      </w:r>
      <w:r w:rsidRPr="00DA2B8B">
        <w:rPr>
          <w:rFonts w:ascii="Times New Roman" w:hAnsi="Times New Roman" w:cs="Times New Roman"/>
          <w:iCs/>
          <w:sz w:val="24"/>
          <w:szCs w:val="24"/>
        </w:rPr>
        <w:t>. This new apex court now allows appeals from:</w:t>
      </w:r>
    </w:p>
    <w:p w14:paraId="1FB5EE22" w14:textId="77777777" w:rsidR="00A01E4A" w:rsidRPr="00DA2B8B" w:rsidRDefault="00A01E4A" w:rsidP="00A01E4A">
      <w:pPr>
        <w:pStyle w:val="ListParagraph"/>
        <w:tabs>
          <w:tab w:val="left" w:pos="810"/>
        </w:tabs>
        <w:jc w:val="both"/>
        <w:rPr>
          <w:rFonts w:ascii="Times New Roman" w:hAnsi="Times New Roman" w:cs="Times New Roman"/>
          <w:i/>
          <w:sz w:val="24"/>
          <w:szCs w:val="24"/>
        </w:rPr>
      </w:pPr>
    </w:p>
    <w:p w14:paraId="217D58E8" w14:textId="77777777" w:rsidR="00A01E4A" w:rsidRPr="00DA2B8B" w:rsidRDefault="00A01E4A" w:rsidP="00A01E4A">
      <w:pPr>
        <w:pStyle w:val="ListParagraph"/>
        <w:numPr>
          <w:ilvl w:val="0"/>
          <w:numId w:val="2"/>
        </w:numPr>
        <w:tabs>
          <w:tab w:val="left" w:pos="810"/>
        </w:tabs>
        <w:jc w:val="both"/>
        <w:rPr>
          <w:rFonts w:ascii="Times New Roman" w:hAnsi="Times New Roman" w:cs="Times New Roman"/>
          <w:i/>
          <w:sz w:val="24"/>
          <w:szCs w:val="24"/>
        </w:rPr>
      </w:pPr>
      <w:r>
        <w:rPr>
          <w:rFonts w:ascii="Times New Roman" w:hAnsi="Times New Roman" w:cs="Times New Roman"/>
          <w:iCs/>
          <w:sz w:val="24"/>
          <w:szCs w:val="24"/>
        </w:rPr>
        <w:t>l</w:t>
      </w:r>
      <w:r w:rsidRPr="00DA2B8B">
        <w:rPr>
          <w:rFonts w:ascii="Times New Roman" w:hAnsi="Times New Roman" w:cs="Times New Roman"/>
          <w:iCs/>
          <w:sz w:val="24"/>
          <w:szCs w:val="24"/>
        </w:rPr>
        <w:t>and matters;</w:t>
      </w:r>
    </w:p>
    <w:p w14:paraId="60C88BDA" w14:textId="77777777" w:rsidR="00A01E4A" w:rsidRPr="00DA2B8B" w:rsidRDefault="00A01E4A" w:rsidP="00A01E4A">
      <w:pPr>
        <w:pStyle w:val="ListParagraph"/>
        <w:numPr>
          <w:ilvl w:val="0"/>
          <w:numId w:val="2"/>
        </w:numPr>
        <w:tabs>
          <w:tab w:val="left" w:pos="810"/>
        </w:tabs>
        <w:jc w:val="both"/>
        <w:rPr>
          <w:rFonts w:ascii="Times New Roman" w:hAnsi="Times New Roman" w:cs="Times New Roman"/>
          <w:i/>
          <w:sz w:val="24"/>
          <w:szCs w:val="24"/>
        </w:rPr>
      </w:pPr>
      <w:r>
        <w:rPr>
          <w:rFonts w:ascii="Times New Roman" w:hAnsi="Times New Roman" w:cs="Times New Roman"/>
          <w:iCs/>
          <w:sz w:val="24"/>
          <w:szCs w:val="24"/>
        </w:rPr>
        <w:lastRenderedPageBreak/>
        <w:t>c</w:t>
      </w:r>
      <w:r w:rsidRPr="00DA2B8B">
        <w:rPr>
          <w:rFonts w:ascii="Times New Roman" w:hAnsi="Times New Roman" w:cs="Times New Roman"/>
          <w:iCs/>
          <w:sz w:val="24"/>
          <w:szCs w:val="24"/>
        </w:rPr>
        <w:t>onsti</w:t>
      </w:r>
      <w:r>
        <w:rPr>
          <w:rFonts w:ascii="Times New Roman" w:hAnsi="Times New Roman" w:cs="Times New Roman"/>
          <w:iCs/>
          <w:sz w:val="24"/>
          <w:szCs w:val="24"/>
        </w:rPr>
        <w:t>tutional issues, interpretation</w:t>
      </w:r>
      <w:r w:rsidRPr="00DA2B8B">
        <w:rPr>
          <w:rFonts w:ascii="Times New Roman" w:hAnsi="Times New Roman" w:cs="Times New Roman"/>
          <w:iCs/>
          <w:sz w:val="24"/>
          <w:szCs w:val="24"/>
        </w:rPr>
        <w:t xml:space="preserve"> and applications;</w:t>
      </w:r>
    </w:p>
    <w:p w14:paraId="08AA26A8" w14:textId="77777777" w:rsidR="00A01E4A" w:rsidRPr="00DA2B8B" w:rsidRDefault="00A01E4A" w:rsidP="00A01E4A">
      <w:pPr>
        <w:pStyle w:val="ListParagraph"/>
        <w:numPr>
          <w:ilvl w:val="0"/>
          <w:numId w:val="2"/>
        </w:numPr>
        <w:tabs>
          <w:tab w:val="left" w:pos="810"/>
        </w:tabs>
        <w:jc w:val="both"/>
        <w:rPr>
          <w:rFonts w:ascii="Times New Roman" w:hAnsi="Times New Roman" w:cs="Times New Roman"/>
          <w:i/>
          <w:sz w:val="24"/>
          <w:szCs w:val="24"/>
        </w:rPr>
      </w:pPr>
      <w:r>
        <w:rPr>
          <w:rFonts w:ascii="Times New Roman" w:hAnsi="Times New Roman" w:cs="Times New Roman"/>
          <w:iCs/>
          <w:sz w:val="24"/>
          <w:szCs w:val="24"/>
        </w:rPr>
        <w:t>m</w:t>
      </w:r>
      <w:r w:rsidRPr="00DA2B8B">
        <w:rPr>
          <w:rFonts w:ascii="Times New Roman" w:hAnsi="Times New Roman" w:cs="Times New Roman"/>
          <w:iCs/>
          <w:sz w:val="24"/>
          <w:szCs w:val="24"/>
        </w:rPr>
        <w:t>atrimonial matters;</w:t>
      </w:r>
    </w:p>
    <w:p w14:paraId="0299A332" w14:textId="77777777" w:rsidR="00A01E4A" w:rsidRPr="00DA2B8B" w:rsidRDefault="00A01E4A" w:rsidP="00A01E4A">
      <w:pPr>
        <w:pStyle w:val="ListParagraph"/>
        <w:tabs>
          <w:tab w:val="left" w:pos="810"/>
        </w:tabs>
        <w:ind w:left="1440"/>
        <w:jc w:val="both"/>
        <w:rPr>
          <w:rFonts w:ascii="Times New Roman" w:hAnsi="Times New Roman" w:cs="Times New Roman"/>
          <w:iCs/>
          <w:sz w:val="24"/>
          <w:szCs w:val="24"/>
        </w:rPr>
      </w:pPr>
    </w:p>
    <w:p w14:paraId="5B16766D" w14:textId="77777777" w:rsidR="00A01E4A" w:rsidRPr="00DA2B8B" w:rsidRDefault="00A01E4A" w:rsidP="00A01E4A">
      <w:pPr>
        <w:pStyle w:val="ListParagraph"/>
        <w:tabs>
          <w:tab w:val="left" w:pos="810"/>
        </w:tabs>
        <w:spacing w:after="0"/>
        <w:ind w:left="1440"/>
        <w:jc w:val="both"/>
        <w:rPr>
          <w:rFonts w:ascii="Times New Roman" w:hAnsi="Times New Roman" w:cs="Times New Roman"/>
          <w:iCs/>
          <w:sz w:val="24"/>
          <w:szCs w:val="24"/>
        </w:rPr>
      </w:pPr>
      <w:r w:rsidRPr="00DA2B8B">
        <w:rPr>
          <w:rFonts w:ascii="Times New Roman" w:hAnsi="Times New Roman" w:cs="Times New Roman"/>
          <w:iCs/>
          <w:sz w:val="24"/>
          <w:szCs w:val="24"/>
        </w:rPr>
        <w:t xml:space="preserve">which were not allowed under the repealed </w:t>
      </w:r>
      <w:r w:rsidRPr="008824E9">
        <w:rPr>
          <w:rFonts w:ascii="Times New Roman" w:hAnsi="Times New Roman" w:cs="Times New Roman"/>
          <w:i/>
          <w:iCs/>
          <w:sz w:val="24"/>
          <w:szCs w:val="24"/>
        </w:rPr>
        <w:t>Appeals Act 1972</w:t>
      </w:r>
      <w:r w:rsidRPr="00DA2B8B">
        <w:rPr>
          <w:rFonts w:ascii="Times New Roman" w:hAnsi="Times New Roman" w:cs="Times New Roman"/>
          <w:iCs/>
          <w:sz w:val="24"/>
          <w:szCs w:val="24"/>
        </w:rPr>
        <w:t xml:space="preserve"> to the High Court of Australia. </w:t>
      </w:r>
    </w:p>
    <w:p w14:paraId="07CA1576" w14:textId="77777777" w:rsidR="00A01E4A" w:rsidRDefault="00A01E4A" w:rsidP="00A01E4A">
      <w:pPr>
        <w:pStyle w:val="ListParagraph"/>
        <w:tabs>
          <w:tab w:val="left" w:pos="810"/>
        </w:tabs>
        <w:spacing w:after="0"/>
        <w:ind w:left="1440"/>
        <w:jc w:val="both"/>
        <w:rPr>
          <w:rFonts w:ascii="Times New Roman" w:hAnsi="Times New Roman" w:cs="Times New Roman"/>
          <w:iCs/>
          <w:color w:val="FF0000"/>
          <w:sz w:val="24"/>
          <w:szCs w:val="24"/>
        </w:rPr>
      </w:pPr>
    </w:p>
    <w:p w14:paraId="6EA5FC86" w14:textId="42A0848E" w:rsidR="00A01E4A" w:rsidRDefault="00A01E4A" w:rsidP="00A01E4A">
      <w:pPr>
        <w:pStyle w:val="ListParagraph"/>
        <w:numPr>
          <w:ilvl w:val="1"/>
          <w:numId w:val="4"/>
        </w:numPr>
        <w:tabs>
          <w:tab w:val="left" w:pos="810"/>
        </w:tabs>
        <w:spacing w:after="0"/>
        <w:ind w:left="720" w:hanging="720"/>
        <w:jc w:val="both"/>
        <w:rPr>
          <w:rFonts w:ascii="Times New Roman" w:hAnsi="Times New Roman" w:cs="Times New Roman"/>
          <w:iCs/>
          <w:sz w:val="24"/>
          <w:szCs w:val="24"/>
        </w:rPr>
      </w:pPr>
      <w:r w:rsidRPr="00F87C21">
        <w:rPr>
          <w:rFonts w:ascii="Times New Roman" w:hAnsi="Times New Roman" w:cs="Times New Roman"/>
          <w:iCs/>
          <w:sz w:val="24"/>
          <w:szCs w:val="24"/>
        </w:rPr>
        <w:t xml:space="preserve">The constitutional redress application under </w:t>
      </w:r>
      <w:r w:rsidRPr="00F87C21">
        <w:rPr>
          <w:rFonts w:ascii="Times New Roman" w:hAnsi="Times New Roman" w:cs="Times New Roman"/>
          <w:i/>
          <w:iCs/>
          <w:sz w:val="24"/>
          <w:szCs w:val="24"/>
        </w:rPr>
        <w:t>Article 55</w:t>
      </w:r>
      <w:r w:rsidRPr="00F87C21">
        <w:rPr>
          <w:rFonts w:ascii="Times New Roman" w:hAnsi="Times New Roman" w:cs="Times New Roman"/>
          <w:iCs/>
          <w:sz w:val="24"/>
          <w:szCs w:val="24"/>
        </w:rPr>
        <w:t xml:space="preserve"> of the </w:t>
      </w:r>
      <w:r w:rsidRPr="00351CC0">
        <w:rPr>
          <w:rFonts w:ascii="Times New Roman" w:hAnsi="Times New Roman" w:cs="Times New Roman"/>
          <w:i/>
          <w:iCs/>
          <w:sz w:val="24"/>
          <w:szCs w:val="24"/>
        </w:rPr>
        <w:t>Constitution</w:t>
      </w:r>
      <w:r w:rsidRPr="00F87C21">
        <w:rPr>
          <w:rFonts w:ascii="Times New Roman" w:hAnsi="Times New Roman" w:cs="Times New Roman"/>
          <w:iCs/>
          <w:sz w:val="24"/>
          <w:szCs w:val="24"/>
        </w:rPr>
        <w:t xml:space="preserve"> allows the Cabinet to refer constitutional questions to the Supreme Court to be also reviewed by the Nauru Court of Appeal under a review jurisdiction as opposed to an appellate jurisdiction</w:t>
      </w:r>
      <w:r>
        <w:rPr>
          <w:rStyle w:val="EndnoteReference"/>
          <w:rFonts w:ascii="Times New Roman" w:hAnsi="Times New Roman" w:cs="Times New Roman"/>
          <w:iCs/>
          <w:sz w:val="24"/>
          <w:szCs w:val="24"/>
        </w:rPr>
        <w:endnoteReference w:id="4"/>
      </w:r>
      <w:r w:rsidRPr="00F87C21">
        <w:rPr>
          <w:rFonts w:ascii="Times New Roman" w:hAnsi="Times New Roman" w:cs="Times New Roman"/>
          <w:iCs/>
          <w:sz w:val="24"/>
          <w:szCs w:val="24"/>
        </w:rPr>
        <w:t xml:space="preserve">. </w:t>
      </w:r>
      <w:r w:rsidR="008267F5">
        <w:rPr>
          <w:rFonts w:ascii="Times New Roman" w:hAnsi="Times New Roman" w:cs="Times New Roman"/>
          <w:iCs/>
          <w:sz w:val="24"/>
          <w:szCs w:val="24"/>
        </w:rPr>
        <w:t xml:space="preserve">Before these changes the opinion of the Chief Justice under the Constitution was not reviewable or appealable. This change is important to ensure a more intense judicial scrutiny and interpretation of the Constitution, particularly when more often than not this arises out of political differences. It also removes any slightest presumption of the Chief Justice being biased one way or another, this is because the Court of Appeal will have </w:t>
      </w:r>
      <w:r w:rsidR="00EF41AA">
        <w:rPr>
          <w:rFonts w:ascii="Times New Roman" w:hAnsi="Times New Roman" w:cs="Times New Roman"/>
          <w:iCs/>
          <w:sz w:val="24"/>
          <w:szCs w:val="24"/>
        </w:rPr>
        <w:t xml:space="preserve">3 </w:t>
      </w:r>
      <w:r w:rsidR="008267F5">
        <w:rPr>
          <w:rFonts w:ascii="Times New Roman" w:hAnsi="Times New Roman" w:cs="Times New Roman"/>
          <w:iCs/>
          <w:sz w:val="24"/>
          <w:szCs w:val="24"/>
        </w:rPr>
        <w:t xml:space="preserve">Judges sitting as a panel to review the opinion of the Chief Justice. </w:t>
      </w:r>
    </w:p>
    <w:p w14:paraId="70D58468" w14:textId="77777777" w:rsidR="00A01E4A" w:rsidRPr="004E6773" w:rsidRDefault="00A01E4A" w:rsidP="00A01E4A">
      <w:pPr>
        <w:pStyle w:val="ListParagraph"/>
        <w:tabs>
          <w:tab w:val="left" w:pos="810"/>
        </w:tabs>
        <w:spacing w:after="0"/>
        <w:jc w:val="both"/>
        <w:rPr>
          <w:rFonts w:ascii="Times New Roman" w:hAnsi="Times New Roman" w:cs="Times New Roman"/>
          <w:iCs/>
          <w:sz w:val="24"/>
          <w:szCs w:val="24"/>
        </w:rPr>
      </w:pPr>
    </w:p>
    <w:p w14:paraId="4A4580FE" w14:textId="1668CD8C" w:rsidR="00A01E4A" w:rsidRPr="00325901" w:rsidRDefault="00A01E4A" w:rsidP="00A01E4A">
      <w:pPr>
        <w:pStyle w:val="ListParagraph"/>
        <w:numPr>
          <w:ilvl w:val="1"/>
          <w:numId w:val="4"/>
        </w:numPr>
        <w:tabs>
          <w:tab w:val="left" w:pos="810"/>
        </w:tabs>
        <w:ind w:left="720" w:hanging="720"/>
        <w:jc w:val="both"/>
        <w:rPr>
          <w:rFonts w:ascii="Times New Roman" w:hAnsi="Times New Roman" w:cs="Times New Roman"/>
          <w:iCs/>
          <w:sz w:val="24"/>
          <w:szCs w:val="24"/>
        </w:rPr>
      </w:pPr>
      <w:r w:rsidRPr="00325901">
        <w:rPr>
          <w:rFonts w:ascii="Times New Roman" w:hAnsi="Times New Roman" w:cs="Times New Roman"/>
          <w:iCs/>
          <w:sz w:val="24"/>
          <w:szCs w:val="24"/>
        </w:rPr>
        <w:t>The Court of Appeal Ju</w:t>
      </w:r>
      <w:r w:rsidR="00EF41AA">
        <w:rPr>
          <w:rFonts w:ascii="Times New Roman" w:hAnsi="Times New Roman" w:cs="Times New Roman"/>
          <w:iCs/>
          <w:sz w:val="24"/>
          <w:szCs w:val="24"/>
        </w:rPr>
        <w:t>stices</w:t>
      </w:r>
      <w:r w:rsidRPr="00325901">
        <w:rPr>
          <w:rFonts w:ascii="Times New Roman" w:hAnsi="Times New Roman" w:cs="Times New Roman"/>
          <w:iCs/>
          <w:sz w:val="24"/>
          <w:szCs w:val="24"/>
        </w:rPr>
        <w:t xml:space="preserve"> are appointed under the </w:t>
      </w:r>
      <w:r w:rsidRPr="00325901">
        <w:rPr>
          <w:rFonts w:ascii="Times New Roman" w:hAnsi="Times New Roman" w:cs="Times New Roman"/>
          <w:i/>
          <w:sz w:val="24"/>
          <w:szCs w:val="24"/>
        </w:rPr>
        <w:t xml:space="preserve">Constitution </w:t>
      </w:r>
      <w:r w:rsidRPr="00325901">
        <w:rPr>
          <w:rFonts w:ascii="Times New Roman" w:hAnsi="Times New Roman" w:cs="Times New Roman"/>
          <w:iCs/>
          <w:sz w:val="24"/>
          <w:szCs w:val="24"/>
        </w:rPr>
        <w:t xml:space="preserve">by the President in consultation with the Chief Justice under </w:t>
      </w:r>
      <w:r w:rsidRPr="00325901">
        <w:rPr>
          <w:rFonts w:ascii="Times New Roman" w:hAnsi="Times New Roman" w:cs="Times New Roman"/>
          <w:i/>
          <w:sz w:val="24"/>
          <w:szCs w:val="24"/>
        </w:rPr>
        <w:t>Article 57(4)</w:t>
      </w:r>
      <w:r w:rsidRPr="00325901">
        <w:rPr>
          <w:rFonts w:ascii="Times New Roman" w:hAnsi="Times New Roman" w:cs="Times New Roman"/>
          <w:iCs/>
          <w:sz w:val="24"/>
          <w:szCs w:val="24"/>
        </w:rPr>
        <w:t xml:space="preserve">. </w:t>
      </w:r>
    </w:p>
    <w:p w14:paraId="677269D0" w14:textId="77777777" w:rsidR="00A01E4A" w:rsidRPr="00CF4B73" w:rsidRDefault="00A01E4A" w:rsidP="00A01E4A">
      <w:pPr>
        <w:pStyle w:val="ListParagraph"/>
        <w:tabs>
          <w:tab w:val="left" w:pos="810"/>
        </w:tabs>
        <w:jc w:val="both"/>
        <w:rPr>
          <w:rFonts w:ascii="Times New Roman" w:hAnsi="Times New Roman" w:cs="Times New Roman"/>
          <w:iCs/>
          <w:sz w:val="24"/>
          <w:szCs w:val="24"/>
        </w:rPr>
      </w:pPr>
    </w:p>
    <w:p w14:paraId="2B522CBA" w14:textId="77777777" w:rsidR="00A01E4A" w:rsidRPr="008824E9" w:rsidRDefault="00A01E4A" w:rsidP="00A01E4A">
      <w:pPr>
        <w:pStyle w:val="ListParagraph"/>
        <w:numPr>
          <w:ilvl w:val="1"/>
          <w:numId w:val="4"/>
        </w:numPr>
        <w:tabs>
          <w:tab w:val="left" w:pos="810"/>
        </w:tabs>
        <w:spacing w:after="0"/>
        <w:ind w:left="720" w:hanging="720"/>
        <w:jc w:val="both"/>
        <w:rPr>
          <w:rFonts w:ascii="Times New Roman" w:hAnsi="Times New Roman" w:cs="Times New Roman"/>
          <w:iCs/>
          <w:sz w:val="24"/>
          <w:szCs w:val="24"/>
        </w:rPr>
      </w:pPr>
      <w:r>
        <w:rPr>
          <w:rFonts w:ascii="Times New Roman" w:hAnsi="Times New Roman" w:cs="Times New Roman"/>
          <w:iCs/>
          <w:sz w:val="24"/>
          <w:szCs w:val="24"/>
        </w:rPr>
        <w:t>During</w:t>
      </w:r>
      <w:r w:rsidRPr="008824E9">
        <w:rPr>
          <w:rFonts w:ascii="Times New Roman" w:hAnsi="Times New Roman" w:cs="Times New Roman"/>
          <w:iCs/>
          <w:sz w:val="24"/>
          <w:szCs w:val="24"/>
        </w:rPr>
        <w:t xml:space="preserve"> the reporting period</w:t>
      </w:r>
      <w:r>
        <w:rPr>
          <w:rFonts w:ascii="Times New Roman" w:hAnsi="Times New Roman" w:cs="Times New Roman"/>
          <w:iCs/>
          <w:sz w:val="24"/>
          <w:szCs w:val="24"/>
        </w:rPr>
        <w:t>, the following judicial appointments were made</w:t>
      </w:r>
      <w:r w:rsidRPr="008824E9">
        <w:rPr>
          <w:rFonts w:ascii="Times New Roman" w:hAnsi="Times New Roman" w:cs="Times New Roman"/>
          <w:iCs/>
          <w:sz w:val="24"/>
          <w:szCs w:val="24"/>
        </w:rPr>
        <w:t>:</w:t>
      </w:r>
    </w:p>
    <w:p w14:paraId="0A8A9F16" w14:textId="77777777" w:rsidR="00A01E4A" w:rsidRPr="008824E9" w:rsidRDefault="00A01E4A" w:rsidP="00A01E4A">
      <w:pPr>
        <w:pStyle w:val="ListParagraph"/>
        <w:tabs>
          <w:tab w:val="left" w:pos="810"/>
        </w:tabs>
        <w:spacing w:after="0"/>
        <w:ind w:left="420"/>
        <w:jc w:val="both"/>
        <w:rPr>
          <w:rFonts w:ascii="Times New Roman" w:hAnsi="Times New Roman" w:cs="Times New Roman"/>
          <w:iCs/>
          <w:sz w:val="24"/>
          <w:szCs w:val="24"/>
        </w:rPr>
      </w:pPr>
    </w:p>
    <w:p w14:paraId="0305B55C" w14:textId="77777777" w:rsidR="00A01E4A" w:rsidRPr="003C6822" w:rsidRDefault="00A01E4A" w:rsidP="00A01E4A">
      <w:pPr>
        <w:pStyle w:val="ListParagraph"/>
        <w:numPr>
          <w:ilvl w:val="0"/>
          <w:numId w:val="3"/>
        </w:numPr>
        <w:tabs>
          <w:tab w:val="left" w:pos="810"/>
        </w:tabs>
        <w:spacing w:after="0"/>
        <w:jc w:val="both"/>
        <w:rPr>
          <w:rFonts w:ascii="Times New Roman" w:hAnsi="Times New Roman" w:cs="Times New Roman"/>
          <w:iCs/>
          <w:sz w:val="24"/>
          <w:szCs w:val="24"/>
        </w:rPr>
      </w:pPr>
      <w:r w:rsidRPr="003C6822">
        <w:rPr>
          <w:rFonts w:ascii="Times New Roman" w:hAnsi="Times New Roman" w:cs="Times New Roman"/>
          <w:iCs/>
          <w:sz w:val="24"/>
          <w:szCs w:val="24"/>
        </w:rPr>
        <w:t>2 Resident Magistrates;</w:t>
      </w:r>
    </w:p>
    <w:p w14:paraId="0D0B3DE7" w14:textId="58F1D7ED" w:rsidR="00A01E4A" w:rsidRPr="003C6822" w:rsidRDefault="00EF41AA" w:rsidP="00A01E4A">
      <w:pPr>
        <w:pStyle w:val="ListParagraph"/>
        <w:numPr>
          <w:ilvl w:val="0"/>
          <w:numId w:val="3"/>
        </w:numPr>
        <w:tabs>
          <w:tab w:val="left" w:pos="810"/>
        </w:tabs>
        <w:jc w:val="both"/>
        <w:rPr>
          <w:rFonts w:ascii="Times New Roman" w:hAnsi="Times New Roman" w:cs="Times New Roman"/>
          <w:iCs/>
          <w:sz w:val="24"/>
          <w:szCs w:val="24"/>
        </w:rPr>
      </w:pPr>
      <w:r>
        <w:rPr>
          <w:rFonts w:ascii="Times New Roman" w:hAnsi="Times New Roman" w:cs="Times New Roman"/>
          <w:iCs/>
          <w:sz w:val="24"/>
          <w:szCs w:val="24"/>
        </w:rPr>
        <w:t>3</w:t>
      </w:r>
      <w:r w:rsidR="00A01E4A" w:rsidRPr="003C6822">
        <w:rPr>
          <w:rFonts w:ascii="Times New Roman" w:hAnsi="Times New Roman" w:cs="Times New Roman"/>
          <w:iCs/>
          <w:sz w:val="24"/>
          <w:szCs w:val="24"/>
        </w:rPr>
        <w:t xml:space="preserve"> Chief Justices – one passed away and the other recently retired and has joined the Nauru Court of Appeal</w:t>
      </w:r>
      <w:r>
        <w:rPr>
          <w:rFonts w:ascii="Times New Roman" w:hAnsi="Times New Roman" w:cs="Times New Roman"/>
          <w:iCs/>
          <w:sz w:val="24"/>
          <w:szCs w:val="24"/>
        </w:rPr>
        <w:t xml:space="preserve">. After the retirement of the Chief Justice in July 2020, a Chief Justice has been designated but cannot travel to Nauru due to flight restrictions; </w:t>
      </w:r>
    </w:p>
    <w:p w14:paraId="0352723C" w14:textId="77777777" w:rsidR="00A01E4A" w:rsidRPr="003C6822" w:rsidRDefault="00A01E4A" w:rsidP="00A01E4A">
      <w:pPr>
        <w:pStyle w:val="ListParagraph"/>
        <w:numPr>
          <w:ilvl w:val="0"/>
          <w:numId w:val="3"/>
        </w:numPr>
        <w:tabs>
          <w:tab w:val="left" w:pos="810"/>
        </w:tabs>
        <w:jc w:val="both"/>
        <w:rPr>
          <w:rFonts w:ascii="Times New Roman" w:hAnsi="Times New Roman" w:cs="Times New Roman"/>
          <w:iCs/>
          <w:sz w:val="24"/>
          <w:szCs w:val="24"/>
        </w:rPr>
      </w:pPr>
      <w:r w:rsidRPr="003C6822">
        <w:rPr>
          <w:rFonts w:ascii="Times New Roman" w:hAnsi="Times New Roman" w:cs="Times New Roman"/>
          <w:iCs/>
          <w:sz w:val="24"/>
          <w:szCs w:val="24"/>
        </w:rPr>
        <w:t>Supreme Court Judges – 2 acting judges for a specific case, 2 permanent judges;</w:t>
      </w:r>
    </w:p>
    <w:p w14:paraId="0CF50B75" w14:textId="6E0BDE2D" w:rsidR="00A01E4A" w:rsidRPr="003C6822" w:rsidRDefault="00A01E4A" w:rsidP="00A01E4A">
      <w:pPr>
        <w:pStyle w:val="ListParagraph"/>
        <w:numPr>
          <w:ilvl w:val="0"/>
          <w:numId w:val="3"/>
        </w:numPr>
        <w:tabs>
          <w:tab w:val="left" w:pos="810"/>
        </w:tabs>
        <w:jc w:val="both"/>
        <w:rPr>
          <w:rFonts w:ascii="Times New Roman" w:hAnsi="Times New Roman" w:cs="Times New Roman"/>
          <w:iCs/>
          <w:sz w:val="24"/>
          <w:szCs w:val="24"/>
        </w:rPr>
      </w:pPr>
      <w:r w:rsidRPr="003C6822">
        <w:rPr>
          <w:rFonts w:ascii="Times New Roman" w:hAnsi="Times New Roman" w:cs="Times New Roman"/>
          <w:iCs/>
          <w:sz w:val="24"/>
          <w:szCs w:val="24"/>
        </w:rPr>
        <w:t>Justice of Appeal in the Nauru Court of Appeal.</w:t>
      </w:r>
      <w:r w:rsidR="00EF41AA">
        <w:rPr>
          <w:rFonts w:ascii="Times New Roman" w:hAnsi="Times New Roman" w:cs="Times New Roman"/>
          <w:iCs/>
          <w:sz w:val="24"/>
          <w:szCs w:val="24"/>
        </w:rPr>
        <w:t xml:space="preserve"> </w:t>
      </w:r>
    </w:p>
    <w:p w14:paraId="2FC53D69" w14:textId="77777777" w:rsidR="00A01E4A" w:rsidRPr="00BD7B08" w:rsidRDefault="00A01E4A" w:rsidP="00A01E4A">
      <w:pPr>
        <w:pStyle w:val="ListParagraph"/>
        <w:tabs>
          <w:tab w:val="left" w:pos="810"/>
        </w:tabs>
        <w:jc w:val="both"/>
        <w:rPr>
          <w:rFonts w:ascii="Times New Roman" w:hAnsi="Times New Roman" w:cs="Times New Roman"/>
          <w:i/>
          <w:sz w:val="24"/>
          <w:szCs w:val="24"/>
        </w:rPr>
      </w:pPr>
    </w:p>
    <w:p w14:paraId="3CD1A7AA" w14:textId="19788F20" w:rsidR="00A01E4A" w:rsidRPr="00EF41AA" w:rsidRDefault="00A01E4A" w:rsidP="00A01E4A">
      <w:pPr>
        <w:pStyle w:val="ListParagraph"/>
        <w:numPr>
          <w:ilvl w:val="1"/>
          <w:numId w:val="4"/>
        </w:numPr>
        <w:tabs>
          <w:tab w:val="left" w:pos="810"/>
        </w:tabs>
        <w:ind w:left="720" w:hanging="720"/>
        <w:jc w:val="both"/>
        <w:rPr>
          <w:rFonts w:ascii="Times New Roman" w:hAnsi="Times New Roman" w:cs="Times New Roman"/>
          <w:i/>
          <w:sz w:val="24"/>
          <w:szCs w:val="24"/>
        </w:rPr>
      </w:pPr>
      <w:r w:rsidRPr="001C40AB">
        <w:rPr>
          <w:rFonts w:ascii="Times New Roman" w:hAnsi="Times New Roman" w:cs="Times New Roman"/>
          <w:sz w:val="24"/>
          <w:szCs w:val="24"/>
        </w:rPr>
        <w:t xml:space="preserve">The </w:t>
      </w:r>
      <w:r w:rsidRPr="001C40AB">
        <w:rPr>
          <w:rFonts w:ascii="Times New Roman" w:hAnsi="Times New Roman" w:cs="Times New Roman"/>
          <w:i/>
          <w:sz w:val="24"/>
          <w:szCs w:val="24"/>
        </w:rPr>
        <w:t>Leadership Code Act 2016</w:t>
      </w:r>
      <w:r w:rsidRPr="001C40AB">
        <w:rPr>
          <w:rFonts w:ascii="Times New Roman" w:hAnsi="Times New Roman" w:cs="Times New Roman"/>
          <w:sz w:val="24"/>
          <w:szCs w:val="24"/>
        </w:rPr>
        <w:t xml:space="preserve"> also applies to the Chief Justice and judicial officers. </w:t>
      </w:r>
      <w:r w:rsidRPr="001C40AB">
        <w:rPr>
          <w:rFonts w:ascii="Times New Roman" w:hAnsi="Times New Roman" w:cs="Times New Roman"/>
          <w:i/>
          <w:sz w:val="24"/>
          <w:szCs w:val="24"/>
        </w:rPr>
        <w:t xml:space="preserve">Section 8(g) </w:t>
      </w:r>
      <w:r w:rsidRPr="001C40AB">
        <w:rPr>
          <w:rFonts w:ascii="Times New Roman" w:hAnsi="Times New Roman" w:cs="Times New Roman"/>
          <w:sz w:val="24"/>
          <w:szCs w:val="24"/>
        </w:rPr>
        <w:t>and</w:t>
      </w:r>
      <w:r w:rsidRPr="001C40AB">
        <w:rPr>
          <w:rFonts w:ascii="Times New Roman" w:hAnsi="Times New Roman" w:cs="Times New Roman"/>
          <w:i/>
          <w:sz w:val="24"/>
          <w:szCs w:val="24"/>
        </w:rPr>
        <w:t xml:space="preserve"> (k)</w:t>
      </w:r>
      <w:r w:rsidRPr="001C40AB">
        <w:rPr>
          <w:rFonts w:ascii="Times New Roman" w:hAnsi="Times New Roman" w:cs="Times New Roman"/>
          <w:sz w:val="24"/>
          <w:szCs w:val="24"/>
        </w:rPr>
        <w:t xml:space="preserve"> of the Act, </w:t>
      </w:r>
      <w:r>
        <w:rPr>
          <w:rFonts w:ascii="Times New Roman" w:hAnsi="Times New Roman" w:cs="Times New Roman"/>
          <w:sz w:val="24"/>
          <w:szCs w:val="24"/>
        </w:rPr>
        <w:t xml:space="preserve">includes </w:t>
      </w:r>
      <w:r w:rsidRPr="001C40AB">
        <w:rPr>
          <w:rFonts w:ascii="Times New Roman" w:hAnsi="Times New Roman" w:cs="Times New Roman"/>
          <w:sz w:val="24"/>
          <w:szCs w:val="24"/>
        </w:rPr>
        <w:t>the Chief Justice and judicial officers as Leaders that are subject to its provisions</w:t>
      </w:r>
      <w:r>
        <w:rPr>
          <w:rStyle w:val="EndnoteReference"/>
          <w:rFonts w:ascii="Times New Roman" w:hAnsi="Times New Roman" w:cs="Times New Roman"/>
          <w:sz w:val="24"/>
          <w:szCs w:val="24"/>
        </w:rPr>
        <w:endnoteReference w:id="5"/>
      </w:r>
      <w:r>
        <w:rPr>
          <w:rFonts w:ascii="Times New Roman" w:hAnsi="Times New Roman" w:cs="Times New Roman"/>
          <w:sz w:val="24"/>
          <w:szCs w:val="24"/>
        </w:rPr>
        <w:t xml:space="preserve">. </w:t>
      </w:r>
    </w:p>
    <w:p w14:paraId="411786B5" w14:textId="3E979D8E" w:rsidR="00EF41AA" w:rsidRDefault="00EF41AA" w:rsidP="00EF41AA">
      <w:pPr>
        <w:pStyle w:val="ListParagraph"/>
        <w:tabs>
          <w:tab w:val="left" w:pos="810"/>
        </w:tabs>
        <w:jc w:val="both"/>
        <w:rPr>
          <w:rFonts w:ascii="Times New Roman" w:hAnsi="Times New Roman" w:cs="Times New Roman"/>
          <w:sz w:val="24"/>
          <w:szCs w:val="24"/>
        </w:rPr>
      </w:pPr>
    </w:p>
    <w:p w14:paraId="59841538" w14:textId="7B5B4F70" w:rsidR="00EF41AA" w:rsidRPr="00EF41AA" w:rsidRDefault="00EF41AA" w:rsidP="00EF41AA">
      <w:pPr>
        <w:pStyle w:val="ListParagraph"/>
        <w:tabs>
          <w:tab w:val="left" w:pos="810"/>
        </w:tabs>
        <w:jc w:val="both"/>
        <w:rPr>
          <w:rFonts w:ascii="Times New Roman" w:hAnsi="Times New Roman" w:cs="Times New Roman"/>
          <w:b/>
          <w:bCs/>
          <w:i/>
          <w:sz w:val="24"/>
          <w:szCs w:val="24"/>
        </w:rPr>
      </w:pPr>
      <w:r w:rsidRPr="00EF41AA">
        <w:rPr>
          <w:rFonts w:ascii="Times New Roman" w:hAnsi="Times New Roman" w:cs="Times New Roman"/>
          <w:b/>
          <w:bCs/>
          <w:sz w:val="24"/>
          <w:szCs w:val="24"/>
        </w:rPr>
        <w:t>Other developments</w:t>
      </w:r>
    </w:p>
    <w:p w14:paraId="60FD84AC" w14:textId="0240B02B" w:rsidR="00EF41AA" w:rsidRPr="00EF41AA" w:rsidRDefault="00EF41AA" w:rsidP="00A01E4A">
      <w:pPr>
        <w:pStyle w:val="ListParagraph"/>
        <w:numPr>
          <w:ilvl w:val="1"/>
          <w:numId w:val="4"/>
        </w:numPr>
        <w:tabs>
          <w:tab w:val="left" w:pos="810"/>
        </w:tabs>
        <w:ind w:left="720" w:hanging="720"/>
        <w:jc w:val="both"/>
        <w:rPr>
          <w:rFonts w:ascii="Times New Roman" w:hAnsi="Times New Roman" w:cs="Times New Roman"/>
          <w:i/>
          <w:sz w:val="24"/>
          <w:szCs w:val="24"/>
        </w:rPr>
      </w:pPr>
      <w:r>
        <w:rPr>
          <w:rFonts w:ascii="Times New Roman" w:hAnsi="Times New Roman" w:cs="Times New Roman"/>
          <w:sz w:val="24"/>
          <w:szCs w:val="24"/>
        </w:rPr>
        <w:t xml:space="preserve">The Pacific Judicial Strengthening Institute (PJSI) has been working very closely with the Judiciary for the last 3 years. It has assisted in the training of Judiciary staff and judicial officers. Also, PJSI held workshops within the Republic. </w:t>
      </w:r>
    </w:p>
    <w:p w14:paraId="06B31BEB" w14:textId="77777777" w:rsidR="00EF41AA" w:rsidRPr="00EF41AA" w:rsidRDefault="00EF41AA" w:rsidP="00EF41AA">
      <w:pPr>
        <w:pStyle w:val="ListParagraph"/>
        <w:tabs>
          <w:tab w:val="left" w:pos="810"/>
        </w:tabs>
        <w:jc w:val="both"/>
        <w:rPr>
          <w:rFonts w:ascii="Times New Roman" w:hAnsi="Times New Roman" w:cs="Times New Roman"/>
          <w:i/>
          <w:sz w:val="24"/>
          <w:szCs w:val="24"/>
        </w:rPr>
      </w:pPr>
    </w:p>
    <w:p w14:paraId="51B62EF8" w14:textId="6D3EA872" w:rsidR="00EF41AA" w:rsidRPr="00EF41AA" w:rsidRDefault="00EF41AA" w:rsidP="00A01E4A">
      <w:pPr>
        <w:pStyle w:val="ListParagraph"/>
        <w:numPr>
          <w:ilvl w:val="1"/>
          <w:numId w:val="4"/>
        </w:numPr>
        <w:tabs>
          <w:tab w:val="left" w:pos="810"/>
        </w:tabs>
        <w:ind w:left="720" w:hanging="720"/>
        <w:jc w:val="both"/>
        <w:rPr>
          <w:rFonts w:ascii="Times New Roman" w:hAnsi="Times New Roman" w:cs="Times New Roman"/>
          <w:i/>
          <w:sz w:val="24"/>
          <w:szCs w:val="24"/>
        </w:rPr>
      </w:pPr>
      <w:r>
        <w:rPr>
          <w:rFonts w:ascii="Times New Roman" w:hAnsi="Times New Roman" w:cs="Times New Roman"/>
          <w:sz w:val="24"/>
          <w:szCs w:val="24"/>
        </w:rPr>
        <w:lastRenderedPageBreak/>
        <w:t xml:space="preserve">Recently, it has assisted the Court in establishing its first electronic case management system. This includes an electronic database of all cases and tracking the progress of the cases. The system is ready to also commence electronic filing of documents in court. </w:t>
      </w:r>
    </w:p>
    <w:p w14:paraId="4939ACE0" w14:textId="77777777" w:rsidR="00EF41AA" w:rsidRPr="00EF41AA" w:rsidRDefault="00EF41AA" w:rsidP="00EF41AA">
      <w:pPr>
        <w:pStyle w:val="ListParagraph"/>
        <w:rPr>
          <w:rFonts w:ascii="Times New Roman" w:hAnsi="Times New Roman" w:cs="Times New Roman"/>
          <w:i/>
          <w:sz w:val="24"/>
          <w:szCs w:val="24"/>
        </w:rPr>
      </w:pPr>
    </w:p>
    <w:p w14:paraId="17D10857" w14:textId="22C90001" w:rsidR="00EF41AA" w:rsidRPr="00B82280" w:rsidRDefault="00EF41AA" w:rsidP="00A01E4A">
      <w:pPr>
        <w:pStyle w:val="ListParagraph"/>
        <w:numPr>
          <w:ilvl w:val="1"/>
          <w:numId w:val="4"/>
        </w:numPr>
        <w:tabs>
          <w:tab w:val="left" w:pos="810"/>
        </w:tabs>
        <w:ind w:left="720" w:hanging="720"/>
        <w:jc w:val="both"/>
        <w:rPr>
          <w:rFonts w:ascii="Times New Roman" w:hAnsi="Times New Roman" w:cs="Times New Roman"/>
          <w:i/>
          <w:sz w:val="24"/>
          <w:szCs w:val="24"/>
        </w:rPr>
      </w:pPr>
      <w:r>
        <w:rPr>
          <w:rFonts w:ascii="Times New Roman" w:hAnsi="Times New Roman" w:cs="Times New Roman"/>
          <w:iCs/>
          <w:sz w:val="24"/>
          <w:szCs w:val="24"/>
        </w:rPr>
        <w:t>A website will also follow this now. The website is necessary to ensure the right message is given by the Judiciary including regular news to avoid unnecessary</w:t>
      </w:r>
      <w:r w:rsidR="00B82280">
        <w:rPr>
          <w:rFonts w:ascii="Times New Roman" w:hAnsi="Times New Roman" w:cs="Times New Roman"/>
          <w:iCs/>
          <w:sz w:val="24"/>
          <w:szCs w:val="24"/>
        </w:rPr>
        <w:t xml:space="preserve"> criticism of the Judiciary. This includes on many occasions there has been unwarranted and malicious allegations against the Judiciary for no particular reason other than based on hearsay. </w:t>
      </w:r>
      <w:r>
        <w:rPr>
          <w:rFonts w:ascii="Times New Roman" w:hAnsi="Times New Roman" w:cs="Times New Roman"/>
          <w:iCs/>
          <w:sz w:val="24"/>
          <w:szCs w:val="24"/>
        </w:rPr>
        <w:t xml:space="preserve"> </w:t>
      </w:r>
    </w:p>
    <w:p w14:paraId="0E0C85B1" w14:textId="77777777" w:rsidR="00B82280" w:rsidRPr="00B82280" w:rsidRDefault="00B82280" w:rsidP="00B82280">
      <w:pPr>
        <w:pStyle w:val="ListParagraph"/>
        <w:rPr>
          <w:rFonts w:ascii="Times New Roman" w:hAnsi="Times New Roman" w:cs="Times New Roman"/>
          <w:i/>
          <w:sz w:val="24"/>
          <w:szCs w:val="24"/>
        </w:rPr>
      </w:pPr>
    </w:p>
    <w:p w14:paraId="1411E861" w14:textId="4AA50B68" w:rsidR="00B82280" w:rsidRPr="00B82280" w:rsidRDefault="00B82280" w:rsidP="00A01E4A">
      <w:pPr>
        <w:pStyle w:val="ListParagraph"/>
        <w:numPr>
          <w:ilvl w:val="1"/>
          <w:numId w:val="4"/>
        </w:numPr>
        <w:tabs>
          <w:tab w:val="left" w:pos="810"/>
        </w:tabs>
        <w:ind w:left="720" w:hanging="720"/>
        <w:jc w:val="both"/>
        <w:rPr>
          <w:rFonts w:ascii="Times New Roman" w:hAnsi="Times New Roman" w:cs="Times New Roman"/>
          <w:i/>
          <w:sz w:val="24"/>
          <w:szCs w:val="24"/>
        </w:rPr>
      </w:pPr>
      <w:r>
        <w:rPr>
          <w:rFonts w:ascii="Times New Roman" w:hAnsi="Times New Roman" w:cs="Times New Roman"/>
          <w:iCs/>
          <w:sz w:val="24"/>
          <w:szCs w:val="24"/>
        </w:rPr>
        <w:t xml:space="preserve">The Parliament has also amended all the Courts Acts including the </w:t>
      </w:r>
      <w:r w:rsidRPr="00B82280">
        <w:rPr>
          <w:rFonts w:ascii="Times New Roman" w:hAnsi="Times New Roman" w:cs="Times New Roman"/>
          <w:i/>
          <w:sz w:val="24"/>
          <w:szCs w:val="24"/>
        </w:rPr>
        <w:t>Criminal Procedure Act 1972</w:t>
      </w:r>
      <w:r>
        <w:rPr>
          <w:rFonts w:ascii="Times New Roman" w:hAnsi="Times New Roman" w:cs="Times New Roman"/>
          <w:iCs/>
          <w:sz w:val="24"/>
          <w:szCs w:val="24"/>
        </w:rPr>
        <w:t xml:space="preserve"> to allow for the establishment of virtual court rooms. This is an important development moving into the digital and electronic era. With the current set up, the court sittings in the Republic can be fully undertaken through audio visual link. In order to facilitate this, the </w:t>
      </w:r>
      <w:r w:rsidRPr="00B82280">
        <w:rPr>
          <w:rFonts w:ascii="Times New Roman" w:hAnsi="Times New Roman" w:cs="Times New Roman"/>
          <w:i/>
          <w:sz w:val="24"/>
          <w:szCs w:val="24"/>
        </w:rPr>
        <w:t>Oaths Affirmations and Statutory Declarations Act</w:t>
      </w:r>
      <w:r>
        <w:rPr>
          <w:rFonts w:ascii="Times New Roman" w:hAnsi="Times New Roman" w:cs="Times New Roman"/>
          <w:iCs/>
          <w:sz w:val="24"/>
          <w:szCs w:val="24"/>
        </w:rPr>
        <w:t xml:space="preserve"> </w:t>
      </w:r>
      <w:r w:rsidRPr="00B82280">
        <w:rPr>
          <w:rFonts w:ascii="Times New Roman" w:hAnsi="Times New Roman" w:cs="Times New Roman"/>
          <w:i/>
          <w:sz w:val="24"/>
          <w:szCs w:val="24"/>
        </w:rPr>
        <w:t>1976</w:t>
      </w:r>
      <w:r>
        <w:rPr>
          <w:rFonts w:ascii="Times New Roman" w:hAnsi="Times New Roman" w:cs="Times New Roman"/>
          <w:iCs/>
          <w:sz w:val="24"/>
          <w:szCs w:val="24"/>
        </w:rPr>
        <w:t xml:space="preserve"> was also amended to allow for oaths to be administered by virtual means.  </w:t>
      </w:r>
    </w:p>
    <w:p w14:paraId="56D5995D" w14:textId="77777777" w:rsidR="00B82280" w:rsidRPr="00B82280" w:rsidRDefault="00B82280" w:rsidP="00B82280">
      <w:pPr>
        <w:pStyle w:val="ListParagraph"/>
        <w:rPr>
          <w:rFonts w:ascii="Times New Roman" w:hAnsi="Times New Roman" w:cs="Times New Roman"/>
          <w:i/>
          <w:sz w:val="24"/>
          <w:szCs w:val="24"/>
        </w:rPr>
      </w:pPr>
    </w:p>
    <w:p w14:paraId="38B36FD2" w14:textId="275C4DF0" w:rsidR="00B82280" w:rsidRPr="00B82280" w:rsidRDefault="00B82280" w:rsidP="00A01E4A">
      <w:pPr>
        <w:pStyle w:val="ListParagraph"/>
        <w:numPr>
          <w:ilvl w:val="1"/>
          <w:numId w:val="4"/>
        </w:numPr>
        <w:tabs>
          <w:tab w:val="left" w:pos="810"/>
        </w:tabs>
        <w:ind w:left="720" w:hanging="720"/>
        <w:jc w:val="both"/>
        <w:rPr>
          <w:rFonts w:ascii="Times New Roman" w:hAnsi="Times New Roman" w:cs="Times New Roman"/>
          <w:i/>
          <w:sz w:val="24"/>
          <w:szCs w:val="24"/>
        </w:rPr>
      </w:pPr>
      <w:r>
        <w:rPr>
          <w:rFonts w:ascii="Times New Roman" w:hAnsi="Times New Roman" w:cs="Times New Roman"/>
          <w:iCs/>
          <w:sz w:val="24"/>
          <w:szCs w:val="24"/>
        </w:rPr>
        <w:t xml:space="preserve">The PJSI working in consultation with New Zealand is also assisting the Republic in preparing Bench Books for the various hierarchy of the courts. This project is anticipated to be completed in the next 12 months. </w:t>
      </w:r>
    </w:p>
    <w:p w14:paraId="3969487E" w14:textId="77777777" w:rsidR="00B82280" w:rsidRPr="00B82280" w:rsidRDefault="00B82280" w:rsidP="00B82280">
      <w:pPr>
        <w:pStyle w:val="ListParagraph"/>
        <w:rPr>
          <w:rFonts w:ascii="Times New Roman" w:hAnsi="Times New Roman" w:cs="Times New Roman"/>
          <w:i/>
          <w:sz w:val="24"/>
          <w:szCs w:val="24"/>
        </w:rPr>
      </w:pPr>
    </w:p>
    <w:p w14:paraId="1B26C53C" w14:textId="3B32E0C0" w:rsidR="00B82280" w:rsidRPr="00347E0B" w:rsidRDefault="00B82280" w:rsidP="00A01E4A">
      <w:pPr>
        <w:pStyle w:val="ListParagraph"/>
        <w:numPr>
          <w:ilvl w:val="1"/>
          <w:numId w:val="4"/>
        </w:numPr>
        <w:tabs>
          <w:tab w:val="left" w:pos="810"/>
        </w:tabs>
        <w:ind w:left="720" w:hanging="720"/>
        <w:jc w:val="both"/>
        <w:rPr>
          <w:rFonts w:ascii="Times New Roman" w:hAnsi="Times New Roman" w:cs="Times New Roman"/>
          <w:i/>
          <w:sz w:val="24"/>
          <w:szCs w:val="24"/>
        </w:rPr>
      </w:pPr>
      <w:r>
        <w:rPr>
          <w:rFonts w:ascii="Times New Roman" w:hAnsi="Times New Roman" w:cs="Times New Roman"/>
          <w:iCs/>
          <w:sz w:val="24"/>
          <w:szCs w:val="24"/>
        </w:rPr>
        <w:t xml:space="preserve">The overall objective of the Court is to ensure serious cases including where the witnesses or the victims are vulnerable to have the case tried in the shortest possible time. Amendments have been made to various legislation to ensure this is put in place. </w:t>
      </w:r>
    </w:p>
    <w:p w14:paraId="500322FA" w14:textId="77777777" w:rsidR="00347E0B" w:rsidRPr="00347E0B" w:rsidRDefault="00347E0B" w:rsidP="00347E0B">
      <w:pPr>
        <w:pStyle w:val="ListParagraph"/>
        <w:rPr>
          <w:rFonts w:ascii="Times New Roman" w:hAnsi="Times New Roman" w:cs="Times New Roman"/>
          <w:i/>
          <w:sz w:val="24"/>
          <w:szCs w:val="24"/>
        </w:rPr>
      </w:pPr>
    </w:p>
    <w:p w14:paraId="29E4F7CC" w14:textId="12C8CE1D" w:rsidR="00347E0B" w:rsidRPr="00347E0B" w:rsidRDefault="00347E0B" w:rsidP="00347E0B">
      <w:pPr>
        <w:pStyle w:val="ListParagraph"/>
        <w:tabs>
          <w:tab w:val="left" w:pos="810"/>
        </w:tabs>
        <w:jc w:val="both"/>
        <w:rPr>
          <w:rFonts w:ascii="Times New Roman" w:hAnsi="Times New Roman" w:cs="Times New Roman"/>
          <w:b/>
          <w:bCs/>
          <w:iCs/>
          <w:sz w:val="24"/>
          <w:szCs w:val="24"/>
        </w:rPr>
      </w:pPr>
      <w:r>
        <w:rPr>
          <w:rFonts w:ascii="Times New Roman" w:hAnsi="Times New Roman" w:cs="Times New Roman"/>
          <w:b/>
          <w:bCs/>
          <w:iCs/>
          <w:sz w:val="24"/>
          <w:szCs w:val="24"/>
        </w:rPr>
        <w:t>Judicial salaries</w:t>
      </w:r>
    </w:p>
    <w:p w14:paraId="46F938BD" w14:textId="77777777" w:rsidR="00347E0B" w:rsidRPr="00347E0B" w:rsidRDefault="00347E0B" w:rsidP="00347E0B">
      <w:pPr>
        <w:pStyle w:val="ListParagraph"/>
        <w:rPr>
          <w:rFonts w:ascii="Times New Roman" w:hAnsi="Times New Roman" w:cs="Times New Roman"/>
          <w:i/>
          <w:sz w:val="24"/>
          <w:szCs w:val="24"/>
        </w:rPr>
      </w:pPr>
    </w:p>
    <w:p w14:paraId="2FED8AF9" w14:textId="5655EB1D" w:rsidR="00347E0B" w:rsidRPr="00347E0B" w:rsidRDefault="00347E0B" w:rsidP="00A01E4A">
      <w:pPr>
        <w:pStyle w:val="ListParagraph"/>
        <w:numPr>
          <w:ilvl w:val="1"/>
          <w:numId w:val="4"/>
        </w:numPr>
        <w:tabs>
          <w:tab w:val="left" w:pos="810"/>
        </w:tabs>
        <w:ind w:left="720" w:hanging="720"/>
        <w:jc w:val="both"/>
        <w:rPr>
          <w:rFonts w:ascii="Times New Roman" w:hAnsi="Times New Roman" w:cs="Times New Roman"/>
          <w:i/>
          <w:sz w:val="24"/>
          <w:szCs w:val="24"/>
        </w:rPr>
      </w:pPr>
      <w:r>
        <w:rPr>
          <w:rFonts w:ascii="Times New Roman" w:hAnsi="Times New Roman" w:cs="Times New Roman"/>
          <w:iCs/>
          <w:sz w:val="24"/>
          <w:szCs w:val="24"/>
        </w:rPr>
        <w:t xml:space="preserve">Under Article 65 of the Constitution, the Judges’ salaries are to be prescribed by a written law. This has been the practice in the Republic until the early 1980s. This has now been revived under the </w:t>
      </w:r>
      <w:r w:rsidRPr="00347E0B">
        <w:rPr>
          <w:rFonts w:ascii="Times New Roman" w:hAnsi="Times New Roman" w:cs="Times New Roman"/>
          <w:i/>
          <w:sz w:val="24"/>
          <w:szCs w:val="24"/>
        </w:rPr>
        <w:t>Statutory Salaries Act 1974.</w:t>
      </w:r>
      <w:r>
        <w:rPr>
          <w:rFonts w:ascii="Times New Roman" w:hAnsi="Times New Roman" w:cs="Times New Roman"/>
          <w:iCs/>
          <w:sz w:val="24"/>
          <w:szCs w:val="24"/>
        </w:rPr>
        <w:t xml:space="preserve"> The </w:t>
      </w:r>
      <w:r w:rsidRPr="00347E0B">
        <w:rPr>
          <w:rFonts w:ascii="Times New Roman" w:hAnsi="Times New Roman" w:cs="Times New Roman"/>
          <w:i/>
          <w:sz w:val="24"/>
          <w:szCs w:val="24"/>
        </w:rPr>
        <w:t>Judicial Officers Salaries and Conditions of Service Regulations 2020</w:t>
      </w:r>
      <w:r>
        <w:rPr>
          <w:rFonts w:ascii="Times New Roman" w:hAnsi="Times New Roman" w:cs="Times New Roman"/>
          <w:iCs/>
          <w:sz w:val="24"/>
          <w:szCs w:val="24"/>
        </w:rPr>
        <w:t xml:space="preserve"> now prescribes the remuneration and other terms and conditions of the Chief Justice, Judges of the Supreme Court and Justices of Appeal. The Act also provides that these benefits are not to be changed in any manner which is likely to adversely affect it. In other words, the remuneration and other benefits cannot be reduced. </w:t>
      </w:r>
    </w:p>
    <w:p w14:paraId="392992F3" w14:textId="0AF73ED6" w:rsidR="00347E0B" w:rsidRDefault="00347E0B" w:rsidP="00347E0B">
      <w:pPr>
        <w:pStyle w:val="ListParagraph"/>
        <w:tabs>
          <w:tab w:val="left" w:pos="810"/>
        </w:tabs>
        <w:jc w:val="both"/>
        <w:rPr>
          <w:rFonts w:ascii="Times New Roman" w:hAnsi="Times New Roman" w:cs="Times New Roman"/>
          <w:iCs/>
          <w:sz w:val="24"/>
          <w:szCs w:val="24"/>
        </w:rPr>
      </w:pPr>
    </w:p>
    <w:p w14:paraId="4A3240F4" w14:textId="47E03B41" w:rsidR="00347E0B" w:rsidRDefault="00347E0B" w:rsidP="00347E0B">
      <w:pPr>
        <w:pStyle w:val="ListParagraph"/>
        <w:tabs>
          <w:tab w:val="left" w:pos="810"/>
        </w:tabs>
        <w:jc w:val="both"/>
        <w:rPr>
          <w:rFonts w:ascii="Times New Roman" w:hAnsi="Times New Roman" w:cs="Times New Roman"/>
          <w:b/>
          <w:bCs/>
          <w:iCs/>
          <w:sz w:val="24"/>
          <w:szCs w:val="24"/>
        </w:rPr>
      </w:pPr>
      <w:r>
        <w:rPr>
          <w:rFonts w:ascii="Times New Roman" w:hAnsi="Times New Roman" w:cs="Times New Roman"/>
          <w:b/>
          <w:bCs/>
          <w:iCs/>
          <w:sz w:val="24"/>
          <w:szCs w:val="24"/>
        </w:rPr>
        <w:t>Judgment</w:t>
      </w:r>
      <w:r w:rsidR="00C54A20">
        <w:rPr>
          <w:rFonts w:ascii="Times New Roman" w:hAnsi="Times New Roman" w:cs="Times New Roman"/>
          <w:b/>
          <w:bCs/>
          <w:iCs/>
          <w:sz w:val="24"/>
          <w:szCs w:val="24"/>
        </w:rPr>
        <w:t xml:space="preserve"> </w:t>
      </w:r>
      <w:r w:rsidRPr="00347E0B">
        <w:rPr>
          <w:rFonts w:ascii="Times New Roman" w:hAnsi="Times New Roman" w:cs="Times New Roman"/>
          <w:b/>
          <w:bCs/>
          <w:iCs/>
          <w:sz w:val="24"/>
          <w:szCs w:val="24"/>
        </w:rPr>
        <w:t xml:space="preserve">reporting </w:t>
      </w:r>
    </w:p>
    <w:p w14:paraId="3AA0B0BD" w14:textId="3530DDC5" w:rsidR="00347E0B" w:rsidRPr="00C54A20" w:rsidRDefault="00C54A20" w:rsidP="00A01E4A">
      <w:pPr>
        <w:pStyle w:val="ListParagraph"/>
        <w:numPr>
          <w:ilvl w:val="1"/>
          <w:numId w:val="4"/>
        </w:numPr>
        <w:tabs>
          <w:tab w:val="left" w:pos="810"/>
        </w:tabs>
        <w:ind w:left="720" w:hanging="720"/>
        <w:jc w:val="both"/>
        <w:rPr>
          <w:rFonts w:ascii="Times New Roman" w:hAnsi="Times New Roman" w:cs="Times New Roman"/>
          <w:i/>
          <w:sz w:val="24"/>
          <w:szCs w:val="24"/>
        </w:rPr>
      </w:pPr>
      <w:r>
        <w:rPr>
          <w:rFonts w:ascii="Times New Roman" w:hAnsi="Times New Roman" w:cs="Times New Roman"/>
          <w:iCs/>
          <w:sz w:val="24"/>
          <w:szCs w:val="24"/>
        </w:rPr>
        <w:t xml:space="preserve">The reporting of judgments of the court is an important consideration. Currently all judgments are delivered in open court. Nauru does not have a print media as such these judgments do not get reported. However the judgments of the Court are ordinarily published in PacLII, a database of judgments reported from many countries in the Pacific region. </w:t>
      </w:r>
    </w:p>
    <w:p w14:paraId="2EB89081" w14:textId="126F86A1" w:rsidR="00C54A20" w:rsidRPr="00C54A20" w:rsidRDefault="00C54A20" w:rsidP="00A01E4A">
      <w:pPr>
        <w:pStyle w:val="ListParagraph"/>
        <w:numPr>
          <w:ilvl w:val="1"/>
          <w:numId w:val="4"/>
        </w:numPr>
        <w:tabs>
          <w:tab w:val="left" w:pos="810"/>
        </w:tabs>
        <w:ind w:left="720" w:hanging="720"/>
        <w:jc w:val="both"/>
        <w:rPr>
          <w:rFonts w:ascii="Times New Roman" w:hAnsi="Times New Roman" w:cs="Times New Roman"/>
          <w:i/>
          <w:sz w:val="24"/>
          <w:szCs w:val="24"/>
        </w:rPr>
      </w:pPr>
      <w:r>
        <w:rPr>
          <w:rFonts w:ascii="Times New Roman" w:hAnsi="Times New Roman" w:cs="Times New Roman"/>
          <w:iCs/>
          <w:sz w:val="24"/>
          <w:szCs w:val="24"/>
        </w:rPr>
        <w:t xml:space="preserve">The next phase of the judicial progress requires regular reporting of judgments for public consumption in the Republic. Assistance is needed for this purpose so that the summaries of judgments or decisions of the court are regularly disseminated to the community. The education process is a necessity and not a want. </w:t>
      </w:r>
    </w:p>
    <w:p w14:paraId="5B8C79A5" w14:textId="77777777" w:rsidR="00C54A20" w:rsidRPr="00C54A20" w:rsidRDefault="00C54A20" w:rsidP="00C54A20">
      <w:pPr>
        <w:pStyle w:val="ListParagraph"/>
        <w:tabs>
          <w:tab w:val="left" w:pos="810"/>
        </w:tabs>
        <w:jc w:val="both"/>
        <w:rPr>
          <w:rFonts w:ascii="Times New Roman" w:hAnsi="Times New Roman" w:cs="Times New Roman"/>
          <w:i/>
          <w:sz w:val="24"/>
          <w:szCs w:val="24"/>
        </w:rPr>
      </w:pPr>
    </w:p>
    <w:p w14:paraId="0F31D965" w14:textId="186B964A" w:rsidR="00C54A20" w:rsidRPr="00145CB6" w:rsidRDefault="00C54A20" w:rsidP="00A01E4A">
      <w:pPr>
        <w:pStyle w:val="ListParagraph"/>
        <w:numPr>
          <w:ilvl w:val="1"/>
          <w:numId w:val="4"/>
        </w:numPr>
        <w:tabs>
          <w:tab w:val="left" w:pos="810"/>
        </w:tabs>
        <w:ind w:left="720" w:hanging="720"/>
        <w:jc w:val="both"/>
        <w:rPr>
          <w:rFonts w:ascii="Times New Roman" w:hAnsi="Times New Roman" w:cs="Times New Roman"/>
          <w:i/>
          <w:sz w:val="24"/>
          <w:szCs w:val="24"/>
        </w:rPr>
      </w:pPr>
      <w:r>
        <w:rPr>
          <w:rFonts w:ascii="Times New Roman" w:hAnsi="Times New Roman" w:cs="Times New Roman"/>
          <w:iCs/>
          <w:sz w:val="24"/>
          <w:szCs w:val="24"/>
        </w:rPr>
        <w:t xml:space="preserve">Judgments are to be also compiled annually and kept in bound copies. This was done in the past. It has stopped for some time now. It is another effort of the Judiciary now to revive this to be able to properly edit, annotate and maintain an update Nauru Law Reports. </w:t>
      </w:r>
    </w:p>
    <w:p w14:paraId="013668F9" w14:textId="77777777" w:rsidR="00145CB6" w:rsidRPr="00145CB6" w:rsidRDefault="00145CB6" w:rsidP="00145CB6">
      <w:pPr>
        <w:pStyle w:val="ListParagraph"/>
        <w:rPr>
          <w:rFonts w:ascii="Times New Roman" w:hAnsi="Times New Roman" w:cs="Times New Roman"/>
          <w:i/>
          <w:sz w:val="24"/>
          <w:szCs w:val="24"/>
        </w:rPr>
      </w:pPr>
    </w:p>
    <w:p w14:paraId="7271577E" w14:textId="62DD73E2" w:rsidR="00145CB6" w:rsidRPr="00145CB6" w:rsidRDefault="00145CB6" w:rsidP="00145CB6">
      <w:pPr>
        <w:pStyle w:val="ListParagraph"/>
        <w:tabs>
          <w:tab w:val="left" w:pos="810"/>
        </w:tabs>
        <w:jc w:val="both"/>
        <w:rPr>
          <w:rFonts w:ascii="Times New Roman" w:hAnsi="Times New Roman" w:cs="Times New Roman"/>
          <w:b/>
          <w:bCs/>
          <w:iCs/>
          <w:sz w:val="24"/>
          <w:szCs w:val="24"/>
        </w:rPr>
      </w:pPr>
      <w:r>
        <w:rPr>
          <w:rFonts w:ascii="Times New Roman" w:hAnsi="Times New Roman" w:cs="Times New Roman"/>
          <w:b/>
          <w:bCs/>
          <w:iCs/>
          <w:sz w:val="24"/>
          <w:szCs w:val="24"/>
        </w:rPr>
        <w:t>Public participation</w:t>
      </w:r>
    </w:p>
    <w:p w14:paraId="434EAA52" w14:textId="77777777" w:rsidR="00145CB6" w:rsidRPr="00145CB6" w:rsidRDefault="00145CB6" w:rsidP="00145CB6">
      <w:pPr>
        <w:pStyle w:val="ListParagraph"/>
        <w:rPr>
          <w:rFonts w:ascii="Times New Roman" w:hAnsi="Times New Roman" w:cs="Times New Roman"/>
          <w:i/>
          <w:sz w:val="24"/>
          <w:szCs w:val="24"/>
        </w:rPr>
      </w:pPr>
    </w:p>
    <w:p w14:paraId="074BC7FB" w14:textId="7B2579AE" w:rsidR="00145CB6" w:rsidRPr="007660A0" w:rsidRDefault="00145CB6" w:rsidP="00145CB6">
      <w:pPr>
        <w:pStyle w:val="ListParagraph"/>
        <w:numPr>
          <w:ilvl w:val="1"/>
          <w:numId w:val="4"/>
        </w:numPr>
        <w:tabs>
          <w:tab w:val="left" w:pos="810"/>
        </w:tabs>
        <w:spacing w:after="0"/>
        <w:jc w:val="both"/>
        <w:rPr>
          <w:rFonts w:ascii="Times New Roman" w:hAnsi="Times New Roman" w:cs="Times New Roman"/>
          <w:i/>
          <w:sz w:val="24"/>
          <w:szCs w:val="24"/>
        </w:rPr>
      </w:pPr>
      <w:r w:rsidRPr="00D170A8">
        <w:rPr>
          <w:rFonts w:ascii="Times New Roman" w:hAnsi="Times New Roman" w:cs="Times New Roman"/>
          <w:iCs/>
          <w:sz w:val="24"/>
          <w:szCs w:val="24"/>
        </w:rPr>
        <w:t xml:space="preserve">Under the written laws, a fair reporting of all judgments is permissible; </w:t>
      </w:r>
      <w:r w:rsidRPr="00D170A8">
        <w:rPr>
          <w:rFonts w:ascii="Times New Roman" w:hAnsi="Times New Roman" w:cs="Times New Roman"/>
          <w:i/>
          <w:iCs/>
          <w:sz w:val="24"/>
          <w:szCs w:val="24"/>
        </w:rPr>
        <w:t>Section 23</w:t>
      </w:r>
      <w:r w:rsidRPr="00D170A8">
        <w:rPr>
          <w:rFonts w:ascii="Times New Roman" w:hAnsi="Times New Roman" w:cs="Times New Roman"/>
          <w:iCs/>
          <w:sz w:val="24"/>
          <w:szCs w:val="24"/>
        </w:rPr>
        <w:t xml:space="preserve">. In addition, members of the public are also allowed to lodge complaints in respect of a judicial officer to the Chief Justice; </w:t>
      </w:r>
      <w:r w:rsidRPr="00D170A8">
        <w:rPr>
          <w:rFonts w:ascii="Times New Roman" w:hAnsi="Times New Roman" w:cs="Times New Roman"/>
          <w:i/>
          <w:iCs/>
          <w:sz w:val="24"/>
          <w:szCs w:val="24"/>
        </w:rPr>
        <w:t>Section 26</w:t>
      </w:r>
      <w:r w:rsidRPr="00D170A8">
        <w:rPr>
          <w:rFonts w:ascii="Times New Roman" w:hAnsi="Times New Roman" w:cs="Times New Roman"/>
          <w:iCs/>
          <w:sz w:val="24"/>
          <w:szCs w:val="24"/>
        </w:rPr>
        <w:t xml:space="preserve">. This will ensure that judicial officers conduct themselves in a manner which is reasonable and prudent and expected of a judicial officer. It is also open to the people to discuss decisions of the Court on the merits of the judgments or decisions in public. The only restriction is a direct criticism of a judicial officer, which is a limitation placed to protect the integrity of the justice system. It is important for people to have full trust, faith and confidence in its judicial system. </w:t>
      </w:r>
    </w:p>
    <w:p w14:paraId="67B9F9F3" w14:textId="64B6D54A" w:rsidR="007660A0" w:rsidRPr="007660A0" w:rsidRDefault="007660A0" w:rsidP="007660A0">
      <w:pPr>
        <w:pStyle w:val="ListParagraph"/>
        <w:tabs>
          <w:tab w:val="left" w:pos="810"/>
        </w:tabs>
        <w:spacing w:after="0"/>
        <w:ind w:left="690"/>
        <w:jc w:val="both"/>
        <w:rPr>
          <w:rFonts w:ascii="Times New Roman" w:hAnsi="Times New Roman" w:cs="Times New Roman"/>
          <w:b/>
          <w:bCs/>
          <w:iCs/>
          <w:sz w:val="24"/>
          <w:szCs w:val="24"/>
        </w:rPr>
      </w:pPr>
    </w:p>
    <w:p w14:paraId="552154F1" w14:textId="6674C668" w:rsidR="007660A0" w:rsidRPr="007660A0" w:rsidRDefault="007660A0" w:rsidP="007660A0">
      <w:pPr>
        <w:pStyle w:val="ListParagraph"/>
        <w:tabs>
          <w:tab w:val="left" w:pos="810"/>
        </w:tabs>
        <w:spacing w:after="0"/>
        <w:ind w:left="690"/>
        <w:jc w:val="both"/>
        <w:rPr>
          <w:rFonts w:ascii="Times New Roman" w:hAnsi="Times New Roman" w:cs="Times New Roman"/>
          <w:b/>
          <w:bCs/>
          <w:i/>
          <w:sz w:val="24"/>
          <w:szCs w:val="24"/>
        </w:rPr>
      </w:pPr>
      <w:r w:rsidRPr="007660A0">
        <w:rPr>
          <w:rFonts w:ascii="Times New Roman" w:hAnsi="Times New Roman" w:cs="Times New Roman"/>
          <w:b/>
          <w:bCs/>
          <w:iCs/>
          <w:sz w:val="24"/>
          <w:szCs w:val="24"/>
        </w:rPr>
        <w:t>Other arrangements with countries</w:t>
      </w:r>
    </w:p>
    <w:p w14:paraId="28EC73A7" w14:textId="22C6058C" w:rsidR="007660A0" w:rsidRDefault="007660A0" w:rsidP="007660A0">
      <w:pPr>
        <w:pStyle w:val="ListParagraph"/>
        <w:numPr>
          <w:ilvl w:val="1"/>
          <w:numId w:val="4"/>
        </w:numPr>
        <w:tabs>
          <w:tab w:val="left" w:pos="810"/>
        </w:tabs>
        <w:spacing w:after="0"/>
        <w:jc w:val="both"/>
        <w:rPr>
          <w:rFonts w:ascii="Times New Roman" w:hAnsi="Times New Roman" w:cs="Times New Roman"/>
          <w:iCs/>
          <w:sz w:val="24"/>
          <w:szCs w:val="24"/>
        </w:rPr>
      </w:pPr>
      <w:r>
        <w:rPr>
          <w:rFonts w:ascii="Times New Roman" w:hAnsi="Times New Roman" w:cs="Times New Roman"/>
          <w:iCs/>
          <w:sz w:val="24"/>
          <w:szCs w:val="24"/>
        </w:rPr>
        <w:t xml:space="preserve">Further, through various bilateral arrangements, the judicial staff has been able to attend trainings in Samoa, New Zealand and Australia. The Judiciary has a Memorandum of Understanding with the Judiciary of Papua New Guinea on human resources training and facilities upgrading. Opportunities are also sought for training in other parts of the world so that the Judiciary can build its capacity. </w:t>
      </w:r>
    </w:p>
    <w:p w14:paraId="183BA5A7" w14:textId="5672A5B4" w:rsidR="00145CB6" w:rsidRPr="00EF41AA" w:rsidRDefault="00145CB6" w:rsidP="00341FE4">
      <w:pPr>
        <w:pStyle w:val="ListParagraph"/>
        <w:tabs>
          <w:tab w:val="left" w:pos="810"/>
        </w:tabs>
        <w:jc w:val="both"/>
        <w:rPr>
          <w:rFonts w:ascii="Times New Roman" w:hAnsi="Times New Roman" w:cs="Times New Roman"/>
          <w:i/>
          <w:sz w:val="24"/>
          <w:szCs w:val="24"/>
        </w:rPr>
      </w:pPr>
    </w:p>
    <w:p w14:paraId="767206BC" w14:textId="7B811CD4" w:rsidR="00EF41AA" w:rsidRDefault="00EF41AA" w:rsidP="00EF41AA">
      <w:pPr>
        <w:pStyle w:val="ListParagraph"/>
        <w:tabs>
          <w:tab w:val="left" w:pos="810"/>
        </w:tabs>
        <w:jc w:val="both"/>
        <w:rPr>
          <w:rFonts w:ascii="Times New Roman" w:hAnsi="Times New Roman" w:cs="Times New Roman"/>
          <w:sz w:val="24"/>
          <w:szCs w:val="24"/>
        </w:rPr>
      </w:pPr>
    </w:p>
    <w:p w14:paraId="233BE9A7" w14:textId="77777777" w:rsidR="00EF41AA" w:rsidRPr="000F0848" w:rsidRDefault="00EF41AA" w:rsidP="00EF41AA">
      <w:pPr>
        <w:pStyle w:val="ListParagraph"/>
        <w:tabs>
          <w:tab w:val="left" w:pos="810"/>
        </w:tabs>
        <w:jc w:val="both"/>
        <w:rPr>
          <w:rFonts w:ascii="Times New Roman" w:hAnsi="Times New Roman" w:cs="Times New Roman"/>
          <w:i/>
          <w:sz w:val="24"/>
          <w:szCs w:val="24"/>
        </w:rPr>
      </w:pPr>
    </w:p>
    <w:p w14:paraId="5219EB7D" w14:textId="77777777" w:rsidR="00A01E4A" w:rsidRPr="00A01E4A" w:rsidRDefault="00A01E4A" w:rsidP="00A01E4A">
      <w:pPr>
        <w:jc w:val="both"/>
        <w:rPr>
          <w:rFonts w:ascii="Times New Roman" w:hAnsi="Times New Roman" w:cs="Times New Roman"/>
          <w:b/>
          <w:sz w:val="28"/>
        </w:rPr>
      </w:pPr>
    </w:p>
    <w:sectPr w:rsidR="00A01E4A" w:rsidRPr="00A01E4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612B9" w14:textId="77777777" w:rsidR="002743C0" w:rsidRDefault="002743C0" w:rsidP="00A01E4A">
      <w:pPr>
        <w:spacing w:after="0" w:line="240" w:lineRule="auto"/>
      </w:pPr>
      <w:r>
        <w:separator/>
      </w:r>
    </w:p>
  </w:endnote>
  <w:endnote w:type="continuationSeparator" w:id="0">
    <w:p w14:paraId="4B35BF67" w14:textId="77777777" w:rsidR="002743C0" w:rsidRDefault="002743C0" w:rsidP="00A01E4A">
      <w:pPr>
        <w:spacing w:after="0" w:line="240" w:lineRule="auto"/>
      </w:pPr>
      <w:r>
        <w:continuationSeparator/>
      </w:r>
    </w:p>
  </w:endnote>
  <w:endnote w:id="1">
    <w:p w14:paraId="4646F10C" w14:textId="77777777" w:rsidR="00A01E4A" w:rsidRPr="00F20120" w:rsidRDefault="00A01E4A" w:rsidP="00A01E4A">
      <w:pPr>
        <w:pStyle w:val="EndnoteText"/>
        <w:ind w:left="180" w:hanging="180"/>
        <w:rPr>
          <w:rFonts w:ascii="Times New Roman" w:hAnsi="Times New Roman" w:cs="Times New Roman"/>
          <w:iCs/>
          <w:sz w:val="22"/>
          <w:szCs w:val="22"/>
        </w:rPr>
      </w:pPr>
      <w:r>
        <w:rPr>
          <w:rStyle w:val="EndnoteReference"/>
        </w:rPr>
        <w:endnoteRef/>
      </w:r>
      <w:r>
        <w:t xml:space="preserve"> </w:t>
      </w:r>
      <w:r w:rsidRPr="00DA2B8B">
        <w:rPr>
          <w:rFonts w:ascii="Times New Roman" w:hAnsi="Times New Roman" w:cs="Times New Roman"/>
          <w:iCs/>
          <w:sz w:val="24"/>
          <w:szCs w:val="24"/>
        </w:rPr>
        <w:t xml:space="preserve"> </w:t>
      </w:r>
      <w:r w:rsidRPr="00F20120">
        <w:rPr>
          <w:rFonts w:ascii="Times New Roman" w:hAnsi="Times New Roman" w:cs="Times New Roman"/>
          <w:iCs/>
          <w:sz w:val="22"/>
          <w:szCs w:val="22"/>
        </w:rPr>
        <w:t>A judge’s remuneration and allowance is a direct charge on the Treasury Fund. It is protected salary. It cannot be altered in any way which may adversely affect the same.</w:t>
      </w:r>
    </w:p>
    <w:p w14:paraId="2A9A36A6" w14:textId="77777777" w:rsidR="00A01E4A" w:rsidRPr="00F20120" w:rsidRDefault="00A01E4A" w:rsidP="00A01E4A">
      <w:pPr>
        <w:pStyle w:val="EndnoteText"/>
        <w:ind w:left="180" w:hanging="180"/>
        <w:rPr>
          <w:sz w:val="22"/>
          <w:szCs w:val="22"/>
        </w:rPr>
      </w:pPr>
    </w:p>
  </w:endnote>
  <w:endnote w:id="2">
    <w:p w14:paraId="792F373F" w14:textId="77777777" w:rsidR="00A01E4A" w:rsidRPr="00F20120" w:rsidRDefault="00A01E4A" w:rsidP="00A01E4A">
      <w:pPr>
        <w:pStyle w:val="EndnoteText"/>
        <w:ind w:left="180" w:hanging="180"/>
        <w:rPr>
          <w:rFonts w:ascii="Times New Roman" w:hAnsi="Times New Roman" w:cs="Times New Roman"/>
          <w:sz w:val="22"/>
          <w:szCs w:val="22"/>
        </w:rPr>
      </w:pPr>
      <w:r w:rsidRPr="00F20120">
        <w:rPr>
          <w:rStyle w:val="EndnoteReference"/>
          <w:sz w:val="22"/>
          <w:szCs w:val="22"/>
        </w:rPr>
        <w:endnoteRef/>
      </w:r>
      <w:r w:rsidRPr="00F20120">
        <w:rPr>
          <w:sz w:val="22"/>
          <w:szCs w:val="22"/>
        </w:rPr>
        <w:t xml:space="preserve"> </w:t>
      </w:r>
      <w:r w:rsidRPr="00F20120">
        <w:rPr>
          <w:rFonts w:ascii="Times New Roman" w:hAnsi="Times New Roman" w:cs="Times New Roman"/>
          <w:sz w:val="22"/>
          <w:szCs w:val="22"/>
        </w:rPr>
        <w:t xml:space="preserve">The Judges of the Supreme Court are appointed by the President in consultation with the Chief Justice. This is prescribed in Section 10 of the </w:t>
      </w:r>
      <w:r w:rsidRPr="00F20120">
        <w:rPr>
          <w:rFonts w:ascii="Times New Roman" w:hAnsi="Times New Roman" w:cs="Times New Roman"/>
          <w:i/>
          <w:iCs/>
          <w:sz w:val="22"/>
          <w:szCs w:val="22"/>
        </w:rPr>
        <w:t>Supreme Court Act 2018</w:t>
      </w:r>
      <w:r w:rsidRPr="00F20120">
        <w:rPr>
          <w:rFonts w:ascii="Times New Roman" w:hAnsi="Times New Roman" w:cs="Times New Roman"/>
          <w:sz w:val="22"/>
          <w:szCs w:val="22"/>
        </w:rPr>
        <w:t xml:space="preserve"> and generally Part 3. The </w:t>
      </w:r>
      <w:r w:rsidRPr="00F20120">
        <w:rPr>
          <w:rFonts w:ascii="Times New Roman" w:hAnsi="Times New Roman" w:cs="Times New Roman"/>
          <w:i/>
          <w:iCs/>
          <w:sz w:val="22"/>
          <w:szCs w:val="22"/>
        </w:rPr>
        <w:t>Supreme Court Act 2018</w:t>
      </w:r>
      <w:r w:rsidRPr="00F20120">
        <w:rPr>
          <w:rFonts w:ascii="Times New Roman" w:hAnsi="Times New Roman" w:cs="Times New Roman"/>
          <w:sz w:val="22"/>
          <w:szCs w:val="22"/>
        </w:rPr>
        <w:t xml:space="preserve"> prescribes the appointment process as required by </w:t>
      </w:r>
      <w:r w:rsidRPr="00F20120">
        <w:rPr>
          <w:rFonts w:ascii="Times New Roman" w:hAnsi="Times New Roman" w:cs="Times New Roman"/>
          <w:i/>
          <w:iCs/>
          <w:sz w:val="22"/>
          <w:szCs w:val="22"/>
        </w:rPr>
        <w:t>Article 49(3)</w:t>
      </w:r>
      <w:r w:rsidRPr="00F20120">
        <w:rPr>
          <w:rFonts w:ascii="Times New Roman" w:hAnsi="Times New Roman" w:cs="Times New Roman"/>
          <w:sz w:val="22"/>
          <w:szCs w:val="22"/>
        </w:rPr>
        <w:t xml:space="preserve"> of the </w:t>
      </w:r>
      <w:r w:rsidRPr="00F20120">
        <w:rPr>
          <w:rFonts w:ascii="Times New Roman" w:hAnsi="Times New Roman" w:cs="Times New Roman"/>
          <w:i/>
          <w:sz w:val="22"/>
          <w:szCs w:val="22"/>
        </w:rPr>
        <w:t>Constitution</w:t>
      </w:r>
      <w:r w:rsidRPr="00F20120">
        <w:rPr>
          <w:rFonts w:ascii="Times New Roman" w:hAnsi="Times New Roman" w:cs="Times New Roman"/>
          <w:sz w:val="22"/>
          <w:szCs w:val="22"/>
        </w:rPr>
        <w:t>.</w:t>
      </w:r>
    </w:p>
    <w:p w14:paraId="23676DE4" w14:textId="77777777" w:rsidR="00A01E4A" w:rsidRDefault="00A01E4A" w:rsidP="00A01E4A">
      <w:pPr>
        <w:pStyle w:val="EndnoteText"/>
        <w:ind w:left="180" w:hanging="180"/>
      </w:pPr>
    </w:p>
  </w:endnote>
  <w:endnote w:id="3">
    <w:p w14:paraId="002DAC55" w14:textId="1F53A21D" w:rsidR="00FF519E" w:rsidRPr="00FF519E" w:rsidRDefault="00FF519E">
      <w:pPr>
        <w:pStyle w:val="EndnoteText"/>
        <w:rPr>
          <w:rFonts w:ascii="Times New Roman" w:hAnsi="Times New Roman" w:cs="Times New Roman"/>
          <w:lang w:val="en-GB"/>
        </w:rPr>
      </w:pPr>
      <w:r>
        <w:rPr>
          <w:rStyle w:val="EndnoteReference"/>
        </w:rPr>
        <w:endnoteRef/>
      </w:r>
      <w:r>
        <w:t xml:space="preserve"> </w:t>
      </w:r>
      <w:r w:rsidRPr="00FF519E">
        <w:rPr>
          <w:rFonts w:ascii="Times New Roman" w:hAnsi="Times New Roman" w:cs="Times New Roman"/>
          <w:sz w:val="22"/>
          <w:szCs w:val="22"/>
          <w:lang w:val="en-GB"/>
        </w:rPr>
        <w:t xml:space="preserve">Established by the District Court (Amendment) Act 2020. </w:t>
      </w:r>
    </w:p>
  </w:endnote>
  <w:endnote w:id="4">
    <w:p w14:paraId="51EF7CFF" w14:textId="77777777" w:rsidR="00A01E4A" w:rsidRPr="00F20120" w:rsidRDefault="00A01E4A" w:rsidP="00A01E4A">
      <w:pPr>
        <w:tabs>
          <w:tab w:val="left" w:pos="810"/>
        </w:tabs>
        <w:spacing w:after="0"/>
        <w:ind w:left="270" w:hanging="270"/>
        <w:jc w:val="both"/>
        <w:rPr>
          <w:rFonts w:ascii="Times New Roman" w:hAnsi="Times New Roman" w:cs="Times New Roman"/>
          <w:iCs/>
        </w:rPr>
      </w:pPr>
      <w:r>
        <w:rPr>
          <w:rStyle w:val="EndnoteReference"/>
        </w:rPr>
        <w:endnoteRef/>
      </w:r>
      <w:r>
        <w:t xml:space="preserve"> </w:t>
      </w:r>
      <w:r w:rsidRPr="00F20120">
        <w:rPr>
          <w:rFonts w:ascii="Times New Roman" w:hAnsi="Times New Roman" w:cs="Times New Roman"/>
          <w:iCs/>
        </w:rPr>
        <w:t xml:space="preserve">Under </w:t>
      </w:r>
      <w:r w:rsidRPr="00F20120">
        <w:rPr>
          <w:rFonts w:ascii="Times New Roman" w:hAnsi="Times New Roman" w:cs="Times New Roman"/>
          <w:i/>
          <w:iCs/>
        </w:rPr>
        <w:t>Article 55</w:t>
      </w:r>
      <w:r w:rsidRPr="00F20120">
        <w:rPr>
          <w:rFonts w:ascii="Times New Roman" w:hAnsi="Times New Roman" w:cs="Times New Roman"/>
          <w:iCs/>
        </w:rPr>
        <w:t xml:space="preserve">, the Supreme Court gives an advisory opinion only as to the interpretation and effect of the </w:t>
      </w:r>
      <w:r w:rsidRPr="00F20120">
        <w:rPr>
          <w:rFonts w:ascii="Times New Roman" w:hAnsi="Times New Roman" w:cs="Times New Roman"/>
          <w:i/>
          <w:iCs/>
        </w:rPr>
        <w:t>Constitution</w:t>
      </w:r>
      <w:r w:rsidRPr="00F20120">
        <w:rPr>
          <w:rFonts w:ascii="Times New Roman" w:hAnsi="Times New Roman" w:cs="Times New Roman"/>
          <w:iCs/>
        </w:rPr>
        <w:t xml:space="preserve">. There is no further means to redress this question in the event an aggrieved person may be of the opinion that the decision was wrong in law. </w:t>
      </w:r>
      <w:r w:rsidRPr="00F20120">
        <w:rPr>
          <w:rFonts w:ascii="Times New Roman" w:hAnsi="Times New Roman" w:cs="Times New Roman"/>
          <w:i/>
          <w:iCs/>
        </w:rPr>
        <w:t>Part 9</w:t>
      </w:r>
      <w:r w:rsidRPr="00F20120">
        <w:rPr>
          <w:rFonts w:ascii="Times New Roman" w:hAnsi="Times New Roman" w:cs="Times New Roman"/>
          <w:iCs/>
        </w:rPr>
        <w:t xml:space="preserve"> of the </w:t>
      </w:r>
      <w:r w:rsidRPr="00F20120">
        <w:rPr>
          <w:rFonts w:ascii="Times New Roman" w:hAnsi="Times New Roman" w:cs="Times New Roman"/>
          <w:i/>
          <w:iCs/>
        </w:rPr>
        <w:t>Nauru Court of Appeal Act 2018</w:t>
      </w:r>
      <w:r w:rsidRPr="00F20120">
        <w:rPr>
          <w:rFonts w:ascii="Times New Roman" w:hAnsi="Times New Roman" w:cs="Times New Roman"/>
          <w:iCs/>
        </w:rPr>
        <w:t xml:space="preserve"> provides for the following:</w:t>
      </w:r>
    </w:p>
    <w:p w14:paraId="6B9B332D" w14:textId="77777777" w:rsidR="00A01E4A" w:rsidRPr="00F20120" w:rsidRDefault="00A01E4A" w:rsidP="00A01E4A">
      <w:pPr>
        <w:pStyle w:val="ListParagraph"/>
        <w:tabs>
          <w:tab w:val="left" w:pos="810"/>
        </w:tabs>
        <w:spacing w:after="0"/>
        <w:ind w:left="420"/>
        <w:jc w:val="both"/>
        <w:rPr>
          <w:rFonts w:ascii="Times New Roman" w:hAnsi="Times New Roman" w:cs="Times New Roman"/>
          <w:iCs/>
        </w:rPr>
      </w:pPr>
    </w:p>
    <w:p w14:paraId="3C073ECF" w14:textId="77777777" w:rsidR="00A01E4A" w:rsidRPr="00F20120" w:rsidRDefault="00A01E4A" w:rsidP="00A01E4A">
      <w:pPr>
        <w:pStyle w:val="ListParagraph"/>
        <w:tabs>
          <w:tab w:val="left" w:pos="810"/>
        </w:tabs>
        <w:spacing w:after="0"/>
        <w:ind w:left="2160" w:hanging="720"/>
        <w:jc w:val="both"/>
        <w:rPr>
          <w:rFonts w:ascii="Times New Roman" w:hAnsi="Times New Roman" w:cs="Times New Roman"/>
          <w:i/>
        </w:rPr>
      </w:pPr>
      <w:r w:rsidRPr="00F20120">
        <w:rPr>
          <w:rFonts w:ascii="Times New Roman" w:hAnsi="Times New Roman" w:cs="Times New Roman"/>
          <w:i/>
          <w:iCs/>
        </w:rPr>
        <w:t>(1)</w:t>
      </w:r>
      <w:r w:rsidRPr="00F20120">
        <w:rPr>
          <w:rFonts w:ascii="Times New Roman" w:hAnsi="Times New Roman" w:cs="Times New Roman"/>
          <w:iCs/>
        </w:rPr>
        <w:t xml:space="preserve"> </w:t>
      </w:r>
      <w:r w:rsidRPr="00F20120">
        <w:rPr>
          <w:rFonts w:ascii="Times New Roman" w:hAnsi="Times New Roman" w:cs="Times New Roman"/>
          <w:i/>
        </w:rPr>
        <w:tab/>
        <w:t xml:space="preserve">‘…review the opinion of the Supreme Court pronounced under Article 55 of the Constitution. </w:t>
      </w:r>
    </w:p>
    <w:p w14:paraId="7D014F9B" w14:textId="77777777" w:rsidR="00A01E4A" w:rsidRPr="00F20120" w:rsidRDefault="00A01E4A" w:rsidP="00A01E4A">
      <w:pPr>
        <w:pStyle w:val="ListParagraph"/>
        <w:tabs>
          <w:tab w:val="left" w:pos="810"/>
        </w:tabs>
        <w:spacing w:after="0"/>
        <w:ind w:left="1440"/>
        <w:jc w:val="both"/>
        <w:rPr>
          <w:rFonts w:ascii="Times New Roman" w:hAnsi="Times New Roman" w:cs="Times New Roman"/>
          <w:i/>
          <w:color w:val="FF0000"/>
        </w:rPr>
      </w:pPr>
    </w:p>
    <w:p w14:paraId="3657E74B" w14:textId="77777777" w:rsidR="00A01E4A" w:rsidRPr="00F20120" w:rsidRDefault="00A01E4A" w:rsidP="00A01E4A">
      <w:pPr>
        <w:pStyle w:val="ListParagraph"/>
        <w:tabs>
          <w:tab w:val="left" w:pos="810"/>
        </w:tabs>
        <w:spacing w:after="0"/>
        <w:ind w:left="2160" w:hanging="720"/>
        <w:jc w:val="both"/>
        <w:rPr>
          <w:rFonts w:ascii="Times New Roman" w:hAnsi="Times New Roman" w:cs="Times New Roman"/>
          <w:iCs/>
        </w:rPr>
      </w:pPr>
      <w:r w:rsidRPr="00F20120">
        <w:rPr>
          <w:rFonts w:ascii="Times New Roman" w:hAnsi="Times New Roman" w:cs="Times New Roman"/>
          <w:i/>
        </w:rPr>
        <w:t xml:space="preserve">(2) </w:t>
      </w:r>
      <w:r w:rsidRPr="00F20120">
        <w:rPr>
          <w:rFonts w:ascii="Times New Roman" w:hAnsi="Times New Roman" w:cs="Times New Roman"/>
          <w:i/>
        </w:rPr>
        <w:tab/>
        <w:t xml:space="preserve">The opinion of the Court of Appeal </w:t>
      </w:r>
      <w:r w:rsidRPr="00F20120">
        <w:rPr>
          <w:rFonts w:ascii="Times New Roman" w:hAnsi="Times New Roman" w:cs="Times New Roman"/>
          <w:b/>
          <w:bCs/>
          <w:i/>
        </w:rPr>
        <w:t>shall supersede the opinion of the Supreme Court.</w:t>
      </w:r>
      <w:r w:rsidRPr="00F20120">
        <w:rPr>
          <w:rFonts w:ascii="Times New Roman" w:hAnsi="Times New Roman" w:cs="Times New Roman"/>
          <w:i/>
        </w:rPr>
        <w:t xml:space="preserve">’ </w:t>
      </w:r>
      <w:r w:rsidRPr="00F20120">
        <w:rPr>
          <w:rFonts w:ascii="Times New Roman" w:hAnsi="Times New Roman" w:cs="Times New Roman"/>
          <w:iCs/>
        </w:rPr>
        <w:t xml:space="preserve"> [emphasis added] </w:t>
      </w:r>
    </w:p>
    <w:p w14:paraId="6550F6FE" w14:textId="77777777" w:rsidR="00A01E4A" w:rsidRDefault="00A01E4A" w:rsidP="00A01E4A">
      <w:pPr>
        <w:pStyle w:val="EndnoteText"/>
      </w:pPr>
    </w:p>
  </w:endnote>
  <w:endnote w:id="5">
    <w:p w14:paraId="6E206ACD" w14:textId="77777777" w:rsidR="00A01E4A" w:rsidRDefault="00A01E4A" w:rsidP="00A01E4A">
      <w:pPr>
        <w:pStyle w:val="EndnoteText"/>
        <w:ind w:left="180" w:hanging="180"/>
        <w:jc w:val="both"/>
        <w:rPr>
          <w:rFonts w:ascii="Times New Roman" w:hAnsi="Times New Roman" w:cs="Times New Roman"/>
          <w:i/>
          <w:sz w:val="22"/>
          <w:szCs w:val="24"/>
        </w:rPr>
      </w:pPr>
      <w:r w:rsidRPr="00BB046A">
        <w:rPr>
          <w:rStyle w:val="EndnoteReference"/>
          <w:rFonts w:ascii="Times New Roman" w:hAnsi="Times New Roman" w:cs="Times New Roman"/>
          <w:sz w:val="22"/>
        </w:rPr>
        <w:endnoteRef/>
      </w:r>
      <w:r w:rsidRPr="00BB046A">
        <w:rPr>
          <w:rFonts w:ascii="Times New Roman" w:hAnsi="Times New Roman" w:cs="Times New Roman"/>
          <w:sz w:val="22"/>
        </w:rPr>
        <w:t xml:space="preserve"> </w:t>
      </w:r>
      <w:r w:rsidRPr="00BB046A">
        <w:rPr>
          <w:rFonts w:ascii="Times New Roman" w:hAnsi="Times New Roman" w:cs="Times New Roman"/>
          <w:i/>
          <w:sz w:val="22"/>
          <w:szCs w:val="24"/>
        </w:rPr>
        <w:t>Section 13(b)</w:t>
      </w:r>
      <w:r w:rsidRPr="00BB046A">
        <w:rPr>
          <w:rFonts w:ascii="Times New Roman" w:hAnsi="Times New Roman" w:cs="Times New Roman"/>
          <w:sz w:val="22"/>
          <w:szCs w:val="24"/>
        </w:rPr>
        <w:t xml:space="preserve"> of the </w:t>
      </w:r>
      <w:r w:rsidRPr="00BB046A">
        <w:rPr>
          <w:rFonts w:ascii="Times New Roman" w:hAnsi="Times New Roman" w:cs="Times New Roman"/>
          <w:i/>
          <w:sz w:val="22"/>
          <w:szCs w:val="24"/>
        </w:rPr>
        <w:t>Leadership Code Act 2016</w:t>
      </w:r>
      <w:r w:rsidRPr="00BB046A">
        <w:rPr>
          <w:rFonts w:ascii="Times New Roman" w:hAnsi="Times New Roman" w:cs="Times New Roman"/>
          <w:sz w:val="22"/>
          <w:szCs w:val="24"/>
        </w:rPr>
        <w:t xml:space="preserve"> states that</w:t>
      </w:r>
      <w:r w:rsidRPr="00BB046A">
        <w:rPr>
          <w:rFonts w:ascii="Times New Roman" w:hAnsi="Times New Roman" w:cs="Times New Roman"/>
          <w:i/>
          <w:sz w:val="22"/>
          <w:szCs w:val="24"/>
        </w:rPr>
        <w:t xml:space="preserve"> a leader in the exercise of his or her power must uphold democratic processes and institutions, respecting the rule of law, the legislature and the independence of the judiciary.</w:t>
      </w:r>
    </w:p>
    <w:p w14:paraId="6CAE3654" w14:textId="77777777" w:rsidR="00A01E4A" w:rsidRPr="00BB046A" w:rsidRDefault="00A01E4A" w:rsidP="00A01E4A">
      <w:pPr>
        <w:pStyle w:val="EndnoteText"/>
        <w:jc w:val="both"/>
        <w:rPr>
          <w:rFonts w:ascii="Times New Roman" w:hAnsi="Times New Roman" w:cs="Times New Roman"/>
          <w:sz w:val="2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3597798"/>
      <w:docPartObj>
        <w:docPartGallery w:val="Page Numbers (Bottom of Page)"/>
        <w:docPartUnique/>
      </w:docPartObj>
    </w:sdtPr>
    <w:sdtEndPr>
      <w:rPr>
        <w:noProof/>
      </w:rPr>
    </w:sdtEndPr>
    <w:sdtContent>
      <w:p w14:paraId="7541BCC4" w14:textId="74B70513" w:rsidR="00A01E4A" w:rsidRDefault="00A01E4A">
        <w:pPr>
          <w:pStyle w:val="Footer"/>
          <w:jc w:val="center"/>
        </w:pPr>
        <w:r>
          <w:fldChar w:fldCharType="begin"/>
        </w:r>
        <w:r>
          <w:instrText xml:space="preserve"> PAGE   \* MERGEFORMAT </w:instrText>
        </w:r>
        <w:r>
          <w:fldChar w:fldCharType="separate"/>
        </w:r>
        <w:r w:rsidR="00464DF8">
          <w:rPr>
            <w:noProof/>
          </w:rPr>
          <w:t>1</w:t>
        </w:r>
        <w:r>
          <w:rPr>
            <w:noProof/>
          </w:rPr>
          <w:fldChar w:fldCharType="end"/>
        </w:r>
      </w:p>
    </w:sdtContent>
  </w:sdt>
  <w:p w14:paraId="75F3B24C" w14:textId="77777777" w:rsidR="00A01E4A" w:rsidRDefault="00A01E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9FFD7" w14:textId="77777777" w:rsidR="002743C0" w:rsidRDefault="002743C0" w:rsidP="00A01E4A">
      <w:pPr>
        <w:spacing w:after="0" w:line="240" w:lineRule="auto"/>
      </w:pPr>
      <w:r>
        <w:separator/>
      </w:r>
    </w:p>
  </w:footnote>
  <w:footnote w:type="continuationSeparator" w:id="0">
    <w:p w14:paraId="1AEE9068" w14:textId="77777777" w:rsidR="002743C0" w:rsidRDefault="002743C0" w:rsidP="00A0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9205A" w14:textId="4F871D3E" w:rsidR="00A01E4A" w:rsidRPr="00A01E4A" w:rsidRDefault="00733BAE">
    <w:pPr>
      <w:pStyle w:val="Header"/>
      <w:rPr>
        <w:rFonts w:ascii="Times New Roman" w:hAnsi="Times New Roman" w:cs="Times New Roman"/>
      </w:rPr>
    </w:pPr>
    <w:r>
      <w:rPr>
        <w:rFonts w:ascii="Times New Roman" w:hAnsi="Times New Roman" w:cs="Times New Roman"/>
      </w:rPr>
      <w:t>Annex 11 (b)</w:t>
    </w:r>
    <w:r w:rsidR="00A01E4A">
      <w:rPr>
        <w:rFonts w:ascii="Times New Roman" w:hAnsi="Times New Roman" w:cs="Times New Roman"/>
      </w:rPr>
      <w:t xml:space="preserve"> – 3</w:t>
    </w:r>
    <w:r w:rsidR="00A01E4A" w:rsidRPr="00A01E4A">
      <w:rPr>
        <w:rFonts w:ascii="Times New Roman" w:hAnsi="Times New Roman" w:cs="Times New Roman"/>
        <w:vertAlign w:val="superscript"/>
      </w:rPr>
      <w:t>rd</w:t>
    </w:r>
    <w:r w:rsidR="00A01E4A">
      <w:rPr>
        <w:rFonts w:ascii="Times New Roman" w:hAnsi="Times New Roman" w:cs="Times New Roman"/>
      </w:rPr>
      <w:t xml:space="preserve"> Cycle UPR National Report</w:t>
    </w:r>
  </w:p>
  <w:p w14:paraId="3A4B2165" w14:textId="77777777" w:rsidR="00A01E4A" w:rsidRDefault="00A01E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A0120"/>
    <w:multiLevelType w:val="hybridMultilevel"/>
    <w:tmpl w:val="E350EED8"/>
    <w:lvl w:ilvl="0" w:tplc="7E54E1F4">
      <w:start w:val="1"/>
      <w:numFmt w:val="lowerLetter"/>
      <w:lvlText w:val="(%1)"/>
      <w:lvlJc w:val="left"/>
      <w:pPr>
        <w:ind w:left="1170" w:hanging="360"/>
      </w:pPr>
      <w:rPr>
        <w:rFonts w:hint="default"/>
        <w:i w:val="0"/>
      </w:rPr>
    </w:lvl>
    <w:lvl w:ilvl="1" w:tplc="ABE04684">
      <w:start w:val="1"/>
      <w:numFmt w:val="lowerLetter"/>
      <w:lvlText w:val="(%2)"/>
      <w:lvlJc w:val="left"/>
      <w:pPr>
        <w:ind w:left="1890" w:hanging="360"/>
      </w:pPr>
      <w:rPr>
        <w:rFonts w:hint="default"/>
      </w:rPr>
    </w:lvl>
    <w:lvl w:ilvl="2" w:tplc="08090005" w:tentative="1">
      <w:start w:val="1"/>
      <w:numFmt w:val="bullet"/>
      <w:lvlText w:val=""/>
      <w:lvlJc w:val="left"/>
      <w:pPr>
        <w:ind w:left="2610" w:hanging="360"/>
      </w:pPr>
      <w:rPr>
        <w:rFonts w:ascii="Wingdings" w:hAnsi="Wingdings" w:hint="default"/>
      </w:rPr>
    </w:lvl>
    <w:lvl w:ilvl="3" w:tplc="08090001" w:tentative="1">
      <w:start w:val="1"/>
      <w:numFmt w:val="bullet"/>
      <w:lvlText w:val=""/>
      <w:lvlJc w:val="left"/>
      <w:pPr>
        <w:ind w:left="3330" w:hanging="360"/>
      </w:pPr>
      <w:rPr>
        <w:rFonts w:ascii="Symbol" w:hAnsi="Symbol" w:hint="default"/>
      </w:rPr>
    </w:lvl>
    <w:lvl w:ilvl="4" w:tplc="08090003" w:tentative="1">
      <w:start w:val="1"/>
      <w:numFmt w:val="bullet"/>
      <w:lvlText w:val="o"/>
      <w:lvlJc w:val="left"/>
      <w:pPr>
        <w:ind w:left="4050" w:hanging="360"/>
      </w:pPr>
      <w:rPr>
        <w:rFonts w:ascii="Courier New" w:hAnsi="Courier New" w:cs="Courier New" w:hint="default"/>
      </w:rPr>
    </w:lvl>
    <w:lvl w:ilvl="5" w:tplc="08090005" w:tentative="1">
      <w:start w:val="1"/>
      <w:numFmt w:val="bullet"/>
      <w:lvlText w:val=""/>
      <w:lvlJc w:val="left"/>
      <w:pPr>
        <w:ind w:left="4770" w:hanging="360"/>
      </w:pPr>
      <w:rPr>
        <w:rFonts w:ascii="Wingdings" w:hAnsi="Wingdings" w:hint="default"/>
      </w:rPr>
    </w:lvl>
    <w:lvl w:ilvl="6" w:tplc="08090001" w:tentative="1">
      <w:start w:val="1"/>
      <w:numFmt w:val="bullet"/>
      <w:lvlText w:val=""/>
      <w:lvlJc w:val="left"/>
      <w:pPr>
        <w:ind w:left="5490" w:hanging="360"/>
      </w:pPr>
      <w:rPr>
        <w:rFonts w:ascii="Symbol" w:hAnsi="Symbol" w:hint="default"/>
      </w:rPr>
    </w:lvl>
    <w:lvl w:ilvl="7" w:tplc="08090003" w:tentative="1">
      <w:start w:val="1"/>
      <w:numFmt w:val="bullet"/>
      <w:lvlText w:val="o"/>
      <w:lvlJc w:val="left"/>
      <w:pPr>
        <w:ind w:left="6210" w:hanging="360"/>
      </w:pPr>
      <w:rPr>
        <w:rFonts w:ascii="Courier New" w:hAnsi="Courier New" w:cs="Courier New" w:hint="default"/>
      </w:rPr>
    </w:lvl>
    <w:lvl w:ilvl="8" w:tplc="08090005" w:tentative="1">
      <w:start w:val="1"/>
      <w:numFmt w:val="bullet"/>
      <w:lvlText w:val=""/>
      <w:lvlJc w:val="left"/>
      <w:pPr>
        <w:ind w:left="6930" w:hanging="360"/>
      </w:pPr>
      <w:rPr>
        <w:rFonts w:ascii="Wingdings" w:hAnsi="Wingdings" w:hint="default"/>
      </w:rPr>
    </w:lvl>
  </w:abstractNum>
  <w:abstractNum w:abstractNumId="1" w15:restartNumberingAfterBreak="0">
    <w:nsid w:val="214F0083"/>
    <w:multiLevelType w:val="hybridMultilevel"/>
    <w:tmpl w:val="16CCEA2C"/>
    <w:lvl w:ilvl="0" w:tplc="332A544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6A94BDB"/>
    <w:multiLevelType w:val="hybridMultilevel"/>
    <w:tmpl w:val="895E3C12"/>
    <w:lvl w:ilvl="0" w:tplc="5BA685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15:restartNumberingAfterBreak="0">
    <w:nsid w:val="406D4713"/>
    <w:multiLevelType w:val="hybridMultilevel"/>
    <w:tmpl w:val="B2969342"/>
    <w:lvl w:ilvl="0" w:tplc="5BA685FA">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9BA07E4"/>
    <w:multiLevelType w:val="multilevel"/>
    <w:tmpl w:val="E3B654D4"/>
    <w:lvl w:ilvl="0">
      <w:start w:val="3"/>
      <w:numFmt w:val="decimal"/>
      <w:lvlText w:val="%1"/>
      <w:lvlJc w:val="left"/>
      <w:pPr>
        <w:ind w:left="420" w:hanging="420"/>
      </w:pPr>
      <w:rPr>
        <w:rFonts w:hint="default"/>
      </w:rPr>
    </w:lvl>
    <w:lvl w:ilvl="1">
      <w:start w:val="19"/>
      <w:numFmt w:val="decimal"/>
      <w:lvlText w:val="%1.%2"/>
      <w:lvlJc w:val="left"/>
      <w:pPr>
        <w:ind w:left="690" w:hanging="420"/>
      </w:pPr>
      <w:rPr>
        <w:rFonts w:hint="default"/>
        <w:i w:val="0"/>
        <w:color w:val="auto"/>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5" w15:restartNumberingAfterBreak="0">
    <w:nsid w:val="5BBA3A2F"/>
    <w:multiLevelType w:val="hybridMultilevel"/>
    <w:tmpl w:val="DA660FF8"/>
    <w:lvl w:ilvl="0" w:tplc="04090017">
      <w:start w:val="1"/>
      <w:numFmt w:val="lowerLetter"/>
      <w:lvlText w:val="%1)"/>
      <w:lvlJc w:val="left"/>
      <w:pPr>
        <w:ind w:left="2160" w:hanging="360"/>
      </w:pPr>
    </w:lvl>
    <w:lvl w:ilvl="1" w:tplc="5BA685FA">
      <w:start w:val="1"/>
      <w:numFmt w:val="lowerLetter"/>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5"/>
  </w:num>
  <w:num w:numId="2">
    <w:abstractNumId w:val="3"/>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E4A"/>
    <w:rsid w:val="00145CB6"/>
    <w:rsid w:val="002743C0"/>
    <w:rsid w:val="0030310C"/>
    <w:rsid w:val="00341FE4"/>
    <w:rsid w:val="00347E0B"/>
    <w:rsid w:val="00464DF8"/>
    <w:rsid w:val="006C46E5"/>
    <w:rsid w:val="00733BAE"/>
    <w:rsid w:val="00756BFB"/>
    <w:rsid w:val="007660A0"/>
    <w:rsid w:val="007853EE"/>
    <w:rsid w:val="008267F5"/>
    <w:rsid w:val="00896B54"/>
    <w:rsid w:val="00A01E4A"/>
    <w:rsid w:val="00B82280"/>
    <w:rsid w:val="00BC017D"/>
    <w:rsid w:val="00C54A20"/>
    <w:rsid w:val="00DC0188"/>
    <w:rsid w:val="00EF41AA"/>
    <w:rsid w:val="00FA3BBB"/>
    <w:rsid w:val="00FF51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1A70E"/>
  <w15:docId w15:val="{552C6380-F820-4598-AAE4-DE1DFBA4C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1E4A"/>
    <w:pPr>
      <w:ind w:left="720"/>
      <w:contextualSpacing/>
    </w:pPr>
  </w:style>
  <w:style w:type="paragraph" w:styleId="EndnoteText">
    <w:name w:val="endnote text"/>
    <w:basedOn w:val="Normal"/>
    <w:link w:val="EndnoteTextChar"/>
    <w:uiPriority w:val="99"/>
    <w:semiHidden/>
    <w:unhideWhenUsed/>
    <w:rsid w:val="00A01E4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01E4A"/>
    <w:rPr>
      <w:sz w:val="20"/>
      <w:szCs w:val="20"/>
    </w:rPr>
  </w:style>
  <w:style w:type="character" w:styleId="EndnoteReference">
    <w:name w:val="endnote reference"/>
    <w:basedOn w:val="DefaultParagraphFont"/>
    <w:uiPriority w:val="99"/>
    <w:semiHidden/>
    <w:unhideWhenUsed/>
    <w:rsid w:val="00A01E4A"/>
    <w:rPr>
      <w:vertAlign w:val="superscript"/>
    </w:rPr>
  </w:style>
  <w:style w:type="paragraph" w:styleId="Header">
    <w:name w:val="header"/>
    <w:basedOn w:val="Normal"/>
    <w:link w:val="HeaderChar"/>
    <w:uiPriority w:val="99"/>
    <w:unhideWhenUsed/>
    <w:rsid w:val="00A01E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1E4A"/>
  </w:style>
  <w:style w:type="paragraph" w:styleId="Footer">
    <w:name w:val="footer"/>
    <w:basedOn w:val="Normal"/>
    <w:link w:val="FooterChar"/>
    <w:uiPriority w:val="99"/>
    <w:unhideWhenUsed/>
    <w:rsid w:val="00A01E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1E4A"/>
  </w:style>
  <w:style w:type="paragraph" w:styleId="BalloonText">
    <w:name w:val="Balloon Text"/>
    <w:basedOn w:val="Normal"/>
    <w:link w:val="BalloonTextChar"/>
    <w:uiPriority w:val="99"/>
    <w:semiHidden/>
    <w:unhideWhenUsed/>
    <w:rsid w:val="00A01E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E4A"/>
    <w:rPr>
      <w:rFonts w:ascii="Tahoma" w:hAnsi="Tahoma" w:cs="Tahoma"/>
      <w:sz w:val="16"/>
      <w:szCs w:val="16"/>
    </w:rPr>
  </w:style>
  <w:style w:type="paragraph" w:styleId="FootnoteText">
    <w:name w:val="footnote text"/>
    <w:basedOn w:val="Normal"/>
    <w:link w:val="FootnoteTextChar"/>
    <w:uiPriority w:val="99"/>
    <w:semiHidden/>
    <w:unhideWhenUsed/>
    <w:rsid w:val="00FF51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F519E"/>
    <w:rPr>
      <w:sz w:val="20"/>
      <w:szCs w:val="20"/>
    </w:rPr>
  </w:style>
  <w:style w:type="character" w:styleId="FootnoteReference">
    <w:name w:val="footnote reference"/>
    <w:basedOn w:val="DefaultParagraphFont"/>
    <w:uiPriority w:val="99"/>
    <w:semiHidden/>
    <w:unhideWhenUsed/>
    <w:rsid w:val="00FF51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FBB88E1-6E6C-4FCA-B153-160657A15CA5}">
  <ds:schemaRefs>
    <ds:schemaRef ds:uri="http://schemas.openxmlformats.org/officeDocument/2006/bibliography"/>
  </ds:schemaRefs>
</ds:datastoreItem>
</file>

<file path=customXml/itemProps2.xml><?xml version="1.0" encoding="utf-8"?>
<ds:datastoreItem xmlns:ds="http://schemas.openxmlformats.org/officeDocument/2006/customXml" ds:itemID="{F64A54F6-1510-4296-A66C-1D98DA977F78}"/>
</file>

<file path=customXml/itemProps3.xml><?xml version="1.0" encoding="utf-8"?>
<ds:datastoreItem xmlns:ds="http://schemas.openxmlformats.org/officeDocument/2006/customXml" ds:itemID="{F769712C-4381-44DD-B991-66CFB8958E4D}"/>
</file>

<file path=customXml/itemProps4.xml><?xml version="1.0" encoding="utf-8"?>
<ds:datastoreItem xmlns:ds="http://schemas.openxmlformats.org/officeDocument/2006/customXml" ds:itemID="{386DAA3A-63B9-431F-A08F-E44B57899B5C}"/>
</file>

<file path=docProps/app.xml><?xml version="1.0" encoding="utf-8"?>
<Properties xmlns="http://schemas.openxmlformats.org/officeDocument/2006/extended-properties" xmlns:vt="http://schemas.openxmlformats.org/officeDocument/2006/docPropsVTypes">
  <Template>Normal.dotm</Template>
  <TotalTime>1</TotalTime>
  <Pages>6</Pages>
  <Words>1781</Words>
  <Characters>10154</Characters>
  <Application>Microsoft Office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Stella Duburiya</dc:creator>
  <cp:lastModifiedBy>IHARA Sumiko</cp:lastModifiedBy>
  <cp:revision>2</cp:revision>
  <dcterms:created xsi:type="dcterms:W3CDTF">2020-12-11T13:18:00Z</dcterms:created>
  <dcterms:modified xsi:type="dcterms:W3CDTF">2020-12-11T13:18:00Z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1506200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